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BBA" w:rsidRDefault="005C5BBA" w:rsidP="00E23609">
      <w:pPr>
        <w:spacing w:line="240" w:lineRule="auto"/>
        <w:rPr>
          <w:b/>
        </w:rPr>
      </w:pPr>
      <w:r>
        <w:rPr>
          <w:b/>
        </w:rPr>
        <w:t>Background</w:t>
      </w:r>
    </w:p>
    <w:p w:rsidR="005C5BBA" w:rsidRDefault="005C5BBA" w:rsidP="005C5BBA">
      <w:r>
        <w:t xml:space="preserve">Entrustable Professional Activities (EPAs) are the next step in Competency-Based Graduate Medical Education (CBGME).  The core competencies, sub-competencies and milestones for </w:t>
      </w:r>
      <w:r w:rsidR="002B4A2B">
        <w:t xml:space="preserve">family medicine </w:t>
      </w:r>
      <w:r>
        <w:t>are seen as too long and theoretical for practical use in evaluation and curricular design. (Reference Ten Cate JGME March2013 page6-7).  EPAs are designed to link competencies to clinical practice and make them feasible. (IBID).  The power of EPAs is their clarity in describing the activities of our profession and the linking or mapping to competencies. See the EPA overview document for further background on EPAs.</w:t>
      </w:r>
    </w:p>
    <w:p w:rsidR="005C5BBA" w:rsidRDefault="005C5BBA" w:rsidP="005C5BBA">
      <w:r>
        <w:t xml:space="preserve">The use of EPAs in CBGME is challenging because the competencies, subcompetencies and milestones came first from the Accreditation Council for Graduate Medical Education (ACGME) and the EPAs were developed later through Family Medicine for American's Health.  There was no natural connection between these two major components of CBGME, competencies and EPAs.  While challenging, once these two different ways of thinking and speaking about our specialty are married together, a richer understanding of </w:t>
      </w:r>
      <w:r w:rsidR="002B4A2B">
        <w:t xml:space="preserve">family medicine </w:t>
      </w:r>
      <w:r>
        <w:t xml:space="preserve">emerges. </w:t>
      </w:r>
    </w:p>
    <w:p w:rsidR="005C5BBA" w:rsidRDefault="005C5BBA" w:rsidP="005C5BBA">
      <w:r>
        <w:t>The EPAs and their associated subcompetencies and milestones can be used in a number of ways in resident education including resident evaluation, resident education plan and curriculum planning.  This paper will address methods for using EPAs in the design, implementation and evaluation of residency curriculum.  Please see the other papers from the taskforce for a more detailed overview of the EPAs and their other uses in residency education.</w:t>
      </w:r>
    </w:p>
    <w:p w:rsidR="00DB0D90" w:rsidRPr="004C0F18" w:rsidRDefault="005F6CE0" w:rsidP="00E23609">
      <w:pPr>
        <w:spacing w:line="240" w:lineRule="auto"/>
        <w:rPr>
          <w:b/>
        </w:rPr>
      </w:pPr>
      <w:r w:rsidRPr="004C0F18">
        <w:rPr>
          <w:b/>
        </w:rPr>
        <w:t>Entrustable Professional Activities as a Tool for Development of Individual Resident Education Plans</w:t>
      </w:r>
    </w:p>
    <w:p w:rsidR="005F6CE0" w:rsidRDefault="005F6CE0" w:rsidP="00E23609">
      <w:pPr>
        <w:spacing w:after="0" w:line="240" w:lineRule="auto"/>
      </w:pPr>
      <w:r>
        <w:t xml:space="preserve">The Family Medicine Entrustable Professional Activities describe the activities that each family physician should </w:t>
      </w:r>
      <w:r w:rsidR="00E23609">
        <w:t>be able to perform without supervision</w:t>
      </w:r>
      <w:r>
        <w:t xml:space="preserve"> at the time of graduation from </w:t>
      </w:r>
      <w:r w:rsidR="00B648F8">
        <w:t>residency training. The use of EPA</w:t>
      </w:r>
      <w:r w:rsidR="00EE7F0F">
        <w:t>s</w:t>
      </w:r>
      <w:r>
        <w:t xml:space="preserve"> </w:t>
      </w:r>
      <w:r w:rsidR="00B648F8">
        <w:t>for learners</w:t>
      </w:r>
      <w:r>
        <w:t xml:space="preserve"> connect</w:t>
      </w:r>
      <w:r w:rsidR="00B648F8">
        <w:t>s</w:t>
      </w:r>
      <w:r>
        <w:t xml:space="preserve"> the competencies with practice</w:t>
      </w:r>
      <w:r w:rsidR="00E23609">
        <w:t>,</w:t>
      </w:r>
      <w:r>
        <w:t xml:space="preserve"> and assess</w:t>
      </w:r>
      <w:r w:rsidR="00B648F8">
        <w:t>es</w:t>
      </w:r>
      <w:r>
        <w:t xml:space="preserve"> learners in performance of clinical activities rather than broad competency domains.</w:t>
      </w:r>
      <w:r>
        <w:rPr>
          <w:rStyle w:val="EndnoteReference"/>
        </w:rPr>
        <w:endnoteReference w:id="1"/>
      </w:r>
      <w:r w:rsidR="00EE7F0F">
        <w:t xml:space="preserve"> This type of clinical assessment might match the language received from some preceptors and community physicians and thus be a useful tool for linking feedback and resident educational plans. Residents can use the EPAs to visualize the end results expected in clinical performance, which may be particularly motivating.</w:t>
      </w:r>
    </w:p>
    <w:p w:rsidR="00E23609" w:rsidRDefault="00E23609" w:rsidP="00E23609">
      <w:pPr>
        <w:spacing w:after="0" w:line="240" w:lineRule="auto"/>
      </w:pPr>
    </w:p>
    <w:p w:rsidR="00E23609" w:rsidRDefault="00F04504" w:rsidP="00E23609">
      <w:pPr>
        <w:spacing w:line="240" w:lineRule="auto"/>
        <w:rPr>
          <w:b/>
        </w:rPr>
      </w:pPr>
      <w:r w:rsidRPr="00F04504">
        <w:rPr>
          <w:b/>
        </w:rPr>
        <w:t>Learning Plans</w:t>
      </w:r>
      <w:r w:rsidR="003F7E7F">
        <w:rPr>
          <w:b/>
        </w:rPr>
        <w:t xml:space="preserve"> </w:t>
      </w:r>
      <w:r w:rsidR="002B4A2B">
        <w:rPr>
          <w:b/>
        </w:rPr>
        <w:t>for</w:t>
      </w:r>
      <w:r w:rsidR="003F7E7F">
        <w:rPr>
          <w:b/>
        </w:rPr>
        <w:t xml:space="preserve"> Residents Requiring Remediation</w:t>
      </w:r>
      <w:r w:rsidR="00EE7F0F" w:rsidRPr="00F04504">
        <w:rPr>
          <w:b/>
        </w:rPr>
        <w:t>:</w:t>
      </w:r>
    </w:p>
    <w:p w:rsidR="00F04504" w:rsidRPr="00351F2C" w:rsidRDefault="00F04504" w:rsidP="00E23609">
      <w:pPr>
        <w:spacing w:before="240" w:line="240" w:lineRule="auto"/>
        <w:rPr>
          <w:b/>
        </w:rPr>
      </w:pPr>
      <w:r>
        <w:t xml:space="preserve">Clinical Competency Committees can review feedback, evaluations and milestones </w:t>
      </w:r>
      <w:r w:rsidR="00E23609">
        <w:t>to</w:t>
      </w:r>
      <w:r>
        <w:t xml:space="preserve"> find particular instances where the EPAs can be useful tools for developing individual education plans</w:t>
      </w:r>
      <w:r w:rsidR="00E23609">
        <w:t xml:space="preserve"> and remediating residents as necessary</w:t>
      </w:r>
      <w:r>
        <w:t xml:space="preserve">. </w:t>
      </w:r>
    </w:p>
    <w:p w:rsidR="00837AC9" w:rsidRDefault="00F04504" w:rsidP="00E23609">
      <w:pPr>
        <w:pStyle w:val="ListParagraph"/>
        <w:numPr>
          <w:ilvl w:val="0"/>
          <w:numId w:val="1"/>
        </w:numPr>
        <w:spacing w:line="240" w:lineRule="auto"/>
      </w:pPr>
      <w:r>
        <w:t xml:space="preserve">Outside evaluators may provide comments or assessments that align more closely </w:t>
      </w:r>
      <w:r w:rsidR="00E23609">
        <w:t xml:space="preserve">with an EPA </w:t>
      </w:r>
      <w:r>
        <w:t xml:space="preserve">than a milestone or curricular learning objective. </w:t>
      </w:r>
    </w:p>
    <w:p w:rsidR="00DD65CA" w:rsidRDefault="00E23609" w:rsidP="00E23609">
      <w:pPr>
        <w:pStyle w:val="ListParagraph"/>
        <w:spacing w:line="240" w:lineRule="auto"/>
        <w:rPr>
          <w:i/>
        </w:rPr>
      </w:pPr>
      <w:r>
        <w:t xml:space="preserve">For example: </w:t>
      </w:r>
      <w:r w:rsidR="00837AC9">
        <w:t xml:space="preserve">A frustrated attending may write, </w:t>
      </w:r>
      <w:r w:rsidR="00F04504" w:rsidRPr="00F04504">
        <w:rPr>
          <w:i/>
        </w:rPr>
        <w:t>“This resident should not practice OB!”</w:t>
      </w:r>
    </w:p>
    <w:p w:rsidR="00F04504" w:rsidRPr="00DD65CA" w:rsidRDefault="00DD65CA" w:rsidP="00DD65CA">
      <w:pPr>
        <w:pStyle w:val="ListParagraph"/>
        <w:spacing w:line="240" w:lineRule="auto"/>
        <w:ind w:firstLine="360"/>
      </w:pPr>
      <w:r w:rsidRPr="00DD65CA">
        <w:t>Steps for developing an individual education plan</w:t>
      </w:r>
      <w:r w:rsidR="00E23609" w:rsidRPr="00DD65CA">
        <w:t xml:space="preserve"> </w:t>
      </w:r>
    </w:p>
    <w:p w:rsidR="00837AC9" w:rsidRPr="00837AC9" w:rsidRDefault="00704837" w:rsidP="00E23609">
      <w:pPr>
        <w:pStyle w:val="ListParagraph"/>
        <w:numPr>
          <w:ilvl w:val="1"/>
          <w:numId w:val="1"/>
        </w:numPr>
        <w:spacing w:line="240" w:lineRule="auto"/>
      </w:pPr>
      <w:r w:rsidRPr="00837AC9">
        <w:t>Find the corresponding EPA</w:t>
      </w:r>
      <w:r w:rsidR="00DD65CA">
        <w:t>(s)</w:t>
      </w:r>
    </w:p>
    <w:p w:rsidR="00F04504" w:rsidRPr="00837AC9" w:rsidRDefault="00DD65CA" w:rsidP="00E23609">
      <w:pPr>
        <w:pStyle w:val="ListParagraph"/>
        <w:spacing w:line="240" w:lineRule="auto"/>
        <w:ind w:left="1440"/>
      </w:pPr>
      <w:r>
        <w:rPr>
          <w:i/>
        </w:rPr>
        <w:t>In this example, EPA 11: (</w:t>
      </w:r>
      <w:r w:rsidR="00837AC9" w:rsidRPr="00837AC9">
        <w:rPr>
          <w:i/>
        </w:rPr>
        <w:t>Manage prenatal, labor</w:t>
      </w:r>
      <w:r>
        <w:rPr>
          <w:i/>
        </w:rPr>
        <w:t>, delivery and postpartum care)</w:t>
      </w:r>
    </w:p>
    <w:p w:rsidR="00704837" w:rsidRDefault="00DD65CA" w:rsidP="00E23609">
      <w:pPr>
        <w:pStyle w:val="ListParagraph"/>
        <w:numPr>
          <w:ilvl w:val="1"/>
          <w:numId w:val="1"/>
        </w:numPr>
        <w:spacing w:line="240" w:lineRule="auto"/>
      </w:pPr>
      <w:r>
        <w:t>Identify m</w:t>
      </w:r>
      <w:r w:rsidR="00704837" w:rsidRPr="00837AC9">
        <w:t xml:space="preserve">ilestones to which </w:t>
      </w:r>
      <w:r>
        <w:t>the EPA is</w:t>
      </w:r>
      <w:r w:rsidR="00704837" w:rsidRPr="00837AC9">
        <w:t xml:space="preserve"> </w:t>
      </w:r>
      <w:r w:rsidR="00837AC9">
        <w:t>mapped on the “Subcompetency with Milestone Level” grid</w:t>
      </w:r>
      <w:r w:rsidR="008E0B3A">
        <w:t xml:space="preserve"> </w:t>
      </w:r>
      <w:r>
        <w:t>(</w:t>
      </w:r>
      <w:r w:rsidR="008E0B3A">
        <w:t>page 4-5 of this document</w:t>
      </w:r>
      <w:r>
        <w:t>)</w:t>
      </w:r>
      <w:r w:rsidR="008E0B3A">
        <w:t>.</w:t>
      </w:r>
    </w:p>
    <w:p w:rsidR="00837AC9" w:rsidRPr="00837AC9" w:rsidRDefault="00837AC9" w:rsidP="00E23609">
      <w:pPr>
        <w:pStyle w:val="ListParagraph"/>
        <w:spacing w:line="240" w:lineRule="auto"/>
        <w:ind w:left="1440"/>
        <w:rPr>
          <w:i/>
        </w:rPr>
      </w:pPr>
      <w:r w:rsidRPr="00837AC9">
        <w:rPr>
          <w:i/>
        </w:rPr>
        <w:lastRenderedPageBreak/>
        <w:t xml:space="preserve">EPA 11 maps to </w:t>
      </w:r>
      <w:r w:rsidR="00DD65CA">
        <w:rPr>
          <w:i/>
        </w:rPr>
        <w:t>multiple m</w:t>
      </w:r>
      <w:r w:rsidRPr="00837AC9">
        <w:rPr>
          <w:i/>
        </w:rPr>
        <w:t xml:space="preserve">ilestones, </w:t>
      </w:r>
      <w:hyperlink r:id="rId9" w:history="1">
        <w:r w:rsidRPr="00604CFB">
          <w:rPr>
            <w:rStyle w:val="Hyperlink"/>
            <w:i/>
          </w:rPr>
          <w:t>learning plan example</w:t>
        </w:r>
      </w:hyperlink>
      <w:r w:rsidRPr="00837AC9">
        <w:rPr>
          <w:i/>
        </w:rPr>
        <w:t>.</w:t>
      </w:r>
      <w:r w:rsidR="009707E9">
        <w:rPr>
          <w:i/>
        </w:rPr>
        <w:t xml:space="preserve"> </w:t>
      </w:r>
    </w:p>
    <w:p w:rsidR="00B11036" w:rsidRDefault="00B648F8" w:rsidP="00E23609">
      <w:pPr>
        <w:pStyle w:val="ListParagraph"/>
        <w:numPr>
          <w:ilvl w:val="1"/>
          <w:numId w:val="1"/>
        </w:numPr>
        <w:spacing w:line="240" w:lineRule="auto"/>
      </w:pPr>
      <w:r>
        <w:t>Review the last CCC assessment of milestones for this learner</w:t>
      </w:r>
      <w:r w:rsidR="009707E9">
        <w:t>.</w:t>
      </w:r>
      <w:r>
        <w:t xml:space="preserve"> </w:t>
      </w:r>
      <w:r w:rsidR="009707E9">
        <w:t xml:space="preserve"> </w:t>
      </w:r>
    </w:p>
    <w:p w:rsidR="00B648F8" w:rsidRDefault="009707E9" w:rsidP="00E23609">
      <w:pPr>
        <w:pStyle w:val="ListParagraph"/>
        <w:numPr>
          <w:ilvl w:val="1"/>
          <w:numId w:val="1"/>
        </w:numPr>
        <w:spacing w:line="240" w:lineRule="auto"/>
      </w:pPr>
      <w:r>
        <w:t>Compare the above milestones and note</w:t>
      </w:r>
      <w:r w:rsidR="00B648F8">
        <w:t xml:space="preserve"> </w:t>
      </w:r>
      <w:r>
        <w:t>which EPA-associated milestone scores are below that expected for entrustment for independence for the EPA</w:t>
      </w:r>
      <w:r w:rsidR="00B648F8">
        <w:t>.</w:t>
      </w:r>
      <w:r>
        <w:t xml:space="preserve">  </w:t>
      </w:r>
    </w:p>
    <w:p w:rsidR="00704837" w:rsidRDefault="00B11036" w:rsidP="00E23609">
      <w:pPr>
        <w:pStyle w:val="ListParagraph"/>
        <w:numPr>
          <w:ilvl w:val="1"/>
          <w:numId w:val="1"/>
        </w:numPr>
        <w:spacing w:line="240" w:lineRule="auto"/>
      </w:pPr>
      <w:r>
        <w:t>Make these unmet m</w:t>
      </w:r>
      <w:r w:rsidR="00704837" w:rsidRPr="00837AC9">
        <w:t xml:space="preserve">ilestones </w:t>
      </w:r>
      <w:r>
        <w:t xml:space="preserve">the focus of </w:t>
      </w:r>
      <w:r w:rsidR="00704837" w:rsidRPr="00837AC9">
        <w:t>the learning plan.</w:t>
      </w:r>
    </w:p>
    <w:p w:rsidR="00837AC9" w:rsidRPr="00837AC9" w:rsidRDefault="00837AC9" w:rsidP="00E23609">
      <w:pPr>
        <w:pStyle w:val="ListParagraph"/>
        <w:numPr>
          <w:ilvl w:val="1"/>
          <w:numId w:val="1"/>
        </w:numPr>
        <w:spacing w:line="240" w:lineRule="auto"/>
      </w:pPr>
      <w:r>
        <w:t xml:space="preserve">Review the Global Evaluation Methods suggested for that EPA to ensure that you are utilizing </w:t>
      </w:r>
      <w:r w:rsidR="009F28E6">
        <w:t>multiple</w:t>
      </w:r>
      <w:r>
        <w:t xml:space="preserve"> assessment techniques.</w:t>
      </w:r>
      <w:r w:rsidR="00B11036">
        <w:t xml:space="preserve"> </w:t>
      </w:r>
    </w:p>
    <w:p w:rsidR="00F04504" w:rsidRDefault="00F04504" w:rsidP="00E23609">
      <w:pPr>
        <w:pStyle w:val="ListParagraph"/>
        <w:numPr>
          <w:ilvl w:val="0"/>
          <w:numId w:val="1"/>
        </w:numPr>
        <w:spacing w:line="240" w:lineRule="auto"/>
      </w:pPr>
      <w:r>
        <w:t>Reverse-mapping of the EPAs in learning plans allow</w:t>
      </w:r>
      <w:r w:rsidR="00B11036">
        <w:t>s</w:t>
      </w:r>
      <w:r>
        <w:t xml:space="preserve"> the faculty advisor and </w:t>
      </w:r>
      <w:r w:rsidR="00B11036">
        <w:t>CCC</w:t>
      </w:r>
      <w:r>
        <w:t xml:space="preserve"> to visualize the consequences of inadequat</w:t>
      </w:r>
      <w:r w:rsidR="00B11036">
        <w:t>e performance in particular sub</w:t>
      </w:r>
      <w:r>
        <w:t>competencies or milestones.</w:t>
      </w:r>
    </w:p>
    <w:p w:rsidR="009F28E6" w:rsidRPr="009F28E6" w:rsidRDefault="009F28E6" w:rsidP="00E23609">
      <w:pPr>
        <w:pStyle w:val="ListParagraph"/>
        <w:spacing w:line="240" w:lineRule="auto"/>
        <w:rPr>
          <w:i/>
        </w:rPr>
      </w:pPr>
      <w:r w:rsidRPr="009F28E6">
        <w:rPr>
          <w:i/>
        </w:rPr>
        <w:t>A resident may be perfor</w:t>
      </w:r>
      <w:r w:rsidR="0049244E">
        <w:rPr>
          <w:i/>
        </w:rPr>
        <w:t>ming lower than expected in SBP-4</w:t>
      </w:r>
      <w:r>
        <w:rPr>
          <w:i/>
        </w:rPr>
        <w:t xml:space="preserve"> </w:t>
      </w:r>
      <w:r w:rsidRPr="009F28E6">
        <w:rPr>
          <w:i/>
        </w:rPr>
        <w:t>and was rated as “does not meet” expectations for subcompetencies</w:t>
      </w:r>
      <w:r w:rsidR="0049244E">
        <w:rPr>
          <w:i/>
        </w:rPr>
        <w:t xml:space="preserve"> at Level 3 (Engages the appropriate care team…, and Assumes responsibility for seamless transitions of care)</w:t>
      </w:r>
      <w:r w:rsidRPr="009F28E6">
        <w:rPr>
          <w:i/>
        </w:rPr>
        <w:t>. In an advisor meeting or semi-annual meeting, this is reviewed with reverse mapping to show that this will affect their performa</w:t>
      </w:r>
      <w:r w:rsidR="0049244E">
        <w:rPr>
          <w:i/>
        </w:rPr>
        <w:t>nce in multiple EPA</w:t>
      </w:r>
      <w:r w:rsidR="00C14BF6">
        <w:rPr>
          <w:i/>
        </w:rPr>
        <w:t>s (EPA 1,2, 5,7,8,9,11,12,13,14,15,19.)</w:t>
      </w:r>
    </w:p>
    <w:p w:rsidR="009E4C38" w:rsidRDefault="009E4C38" w:rsidP="00E23609">
      <w:pPr>
        <w:pStyle w:val="ListParagraph"/>
        <w:numPr>
          <w:ilvl w:val="1"/>
          <w:numId w:val="1"/>
        </w:numPr>
        <w:spacing w:line="240" w:lineRule="auto"/>
      </w:pPr>
      <w:r>
        <w:t>Review the subcompetencies and milestones in which this particular learner has not demonstrated adequate performance</w:t>
      </w:r>
    </w:p>
    <w:p w:rsidR="009E4C38" w:rsidRDefault="009E4C38" w:rsidP="00B11036">
      <w:pPr>
        <w:pStyle w:val="ListParagraph"/>
        <w:numPr>
          <w:ilvl w:val="1"/>
          <w:numId w:val="1"/>
        </w:numPr>
        <w:spacing w:line="240" w:lineRule="auto"/>
      </w:pPr>
      <w:r>
        <w:t>Use the “</w:t>
      </w:r>
      <w:r w:rsidR="00B11036">
        <w:t>EPAs to Sub</w:t>
      </w:r>
      <w:r w:rsidR="00B11036" w:rsidRPr="00B11036">
        <w:t>competency and Milestone Level</w:t>
      </w:r>
      <w:r>
        <w:t xml:space="preserve">” </w:t>
      </w:r>
      <w:r w:rsidR="00B11036">
        <w:t>map</w:t>
      </w:r>
      <w:r>
        <w:t xml:space="preserve"> to determine which EPAs would include that milestone</w:t>
      </w:r>
    </w:p>
    <w:p w:rsidR="009E4C38" w:rsidRDefault="009E4C38" w:rsidP="003749A3">
      <w:pPr>
        <w:pStyle w:val="ListParagraph"/>
        <w:numPr>
          <w:ilvl w:val="1"/>
          <w:numId w:val="1"/>
        </w:numPr>
        <w:spacing w:after="0" w:line="240" w:lineRule="auto"/>
      </w:pPr>
      <w:r>
        <w:t xml:space="preserve">Review the list of Family Medicine EPAs with the resident, highlighting how </w:t>
      </w:r>
      <w:r w:rsidR="00B11036">
        <w:t>current</w:t>
      </w:r>
      <w:r>
        <w:t xml:space="preserve"> performance places</w:t>
      </w:r>
      <w:r w:rsidR="00166BE1">
        <w:t xml:space="preserve"> them</w:t>
      </w:r>
      <w:r>
        <w:t xml:space="preserve"> at risk </w:t>
      </w:r>
      <w:r w:rsidR="00166BE1">
        <w:t>of being un</w:t>
      </w:r>
      <w:r>
        <w:t>ab</w:t>
      </w:r>
      <w:r w:rsidR="00166BE1">
        <w:t>le</w:t>
      </w:r>
      <w:r>
        <w:t xml:space="preserve"> to fulfill their desired professional role in the future.</w:t>
      </w:r>
    </w:p>
    <w:p w:rsidR="003F7E7F" w:rsidRDefault="003F7E7F" w:rsidP="003749A3">
      <w:pPr>
        <w:spacing w:after="0" w:line="240" w:lineRule="auto"/>
      </w:pPr>
    </w:p>
    <w:p w:rsidR="00EE7F0F" w:rsidRPr="004A76D8" w:rsidRDefault="00EE7F0F" w:rsidP="00E23609">
      <w:pPr>
        <w:spacing w:line="240" w:lineRule="auto"/>
        <w:rPr>
          <w:b/>
        </w:rPr>
      </w:pPr>
      <w:r w:rsidRPr="004A76D8">
        <w:rPr>
          <w:b/>
        </w:rPr>
        <w:t>Learning Plans</w:t>
      </w:r>
      <w:r w:rsidR="003F7E7F">
        <w:rPr>
          <w:b/>
        </w:rPr>
        <w:t xml:space="preserve"> </w:t>
      </w:r>
      <w:r w:rsidR="002B4A2B">
        <w:rPr>
          <w:b/>
        </w:rPr>
        <w:t>for</w:t>
      </w:r>
      <w:r w:rsidR="003F7E7F" w:rsidRPr="003F7E7F">
        <w:rPr>
          <w:b/>
        </w:rPr>
        <w:t xml:space="preserve"> </w:t>
      </w:r>
      <w:r w:rsidR="003F7E7F" w:rsidRPr="004A76D8">
        <w:rPr>
          <w:b/>
        </w:rPr>
        <w:t>On-track or High-functioning Resident</w:t>
      </w:r>
      <w:r w:rsidR="003F7E7F">
        <w:rPr>
          <w:b/>
        </w:rPr>
        <w:t>s:</w:t>
      </w:r>
    </w:p>
    <w:p w:rsidR="003749A3" w:rsidRDefault="009B4C05" w:rsidP="003749A3">
      <w:pPr>
        <w:spacing w:after="0" w:line="240" w:lineRule="auto"/>
      </w:pPr>
      <w:r>
        <w:t>Traditionally programs preferentially develop learning plans for residents requiring remediation. However, EPAs and associated milestones provide an opportunity for h</w:t>
      </w:r>
      <w:r w:rsidR="00DB0D90">
        <w:t>igh-functioning residents</w:t>
      </w:r>
      <w:r>
        <w:t xml:space="preserve"> to develop learning plans with aspirational goals </w:t>
      </w:r>
      <w:r w:rsidR="00DB0D90">
        <w:t xml:space="preserve">for future practice. </w:t>
      </w:r>
      <w:r>
        <w:t>R</w:t>
      </w:r>
      <w:r w:rsidR="00DB0D90">
        <w:t xml:space="preserve">esidents </w:t>
      </w:r>
      <w:r>
        <w:t>can</w:t>
      </w:r>
      <w:r w:rsidR="00DB0D90">
        <w:t xml:space="preserve"> visualize future practice activities and </w:t>
      </w:r>
      <w:r w:rsidR="004A76D8">
        <w:t xml:space="preserve">work with their faculty to devise a learning plan to help them achieve </w:t>
      </w:r>
      <w:proofErr w:type="spellStart"/>
      <w:r w:rsidR="004A76D8">
        <w:t>entrustability</w:t>
      </w:r>
      <w:proofErr w:type="spellEnd"/>
      <w:r w:rsidR="004A76D8">
        <w:t>. This process uses reverse mapping to the subcompetencies and milestones, but with particular focus on the higher level milestones (level 4 and 5) as developmental achievements for a learning plan and resident attainment.</w:t>
      </w:r>
      <w:r>
        <w:t xml:space="preserve"> This will also help faculty to avoid the “halo effect” and </w:t>
      </w:r>
      <w:r w:rsidR="000B365C">
        <w:t>recognize</w:t>
      </w:r>
      <w:r>
        <w:t xml:space="preserve"> pr</w:t>
      </w:r>
      <w:r w:rsidR="000B365C">
        <w:t>eviously unidentified learning needs.</w:t>
      </w:r>
    </w:p>
    <w:p w:rsidR="003749A3" w:rsidRDefault="003749A3" w:rsidP="003749A3">
      <w:pPr>
        <w:spacing w:after="0" w:line="240" w:lineRule="auto"/>
      </w:pPr>
    </w:p>
    <w:p w:rsidR="000B365C" w:rsidRDefault="000B365C" w:rsidP="003749A3">
      <w:pPr>
        <w:spacing w:line="240" w:lineRule="auto"/>
        <w:ind w:left="360"/>
      </w:pPr>
      <w:r>
        <w:t>Steps for developing learning plan for on-track and high-functioning residents</w:t>
      </w:r>
      <w:r w:rsidR="003749A3">
        <w:t>:</w:t>
      </w:r>
    </w:p>
    <w:p w:rsidR="000B365C" w:rsidRDefault="004A76D8" w:rsidP="003749A3">
      <w:pPr>
        <w:pStyle w:val="ListParagraph"/>
        <w:numPr>
          <w:ilvl w:val="0"/>
          <w:numId w:val="2"/>
        </w:numPr>
        <w:spacing w:line="240" w:lineRule="auto"/>
      </w:pPr>
      <w:r>
        <w:t>Resident</w:t>
      </w:r>
      <w:r w:rsidR="004C78A1">
        <w:t xml:space="preserve"> identifies their future practice plan </w:t>
      </w:r>
    </w:p>
    <w:p w:rsidR="000B365C" w:rsidRPr="000B365C" w:rsidRDefault="000B365C" w:rsidP="003749A3">
      <w:pPr>
        <w:pStyle w:val="ListParagraph"/>
        <w:spacing w:line="240" w:lineRule="auto"/>
        <w:ind w:left="1440"/>
        <w:rPr>
          <w:i/>
        </w:rPr>
      </w:pPr>
      <w:r w:rsidRPr="000B365C">
        <w:rPr>
          <w:i/>
        </w:rPr>
        <w:t>For example: wants</w:t>
      </w:r>
      <w:r w:rsidR="004C78A1" w:rsidRPr="000B365C">
        <w:rPr>
          <w:i/>
        </w:rPr>
        <w:t xml:space="preserve"> to work in </w:t>
      </w:r>
      <w:r w:rsidR="00811A79" w:rsidRPr="000B365C">
        <w:rPr>
          <w:i/>
        </w:rPr>
        <w:t>advocacy</w:t>
      </w:r>
      <w:r w:rsidR="004C78A1" w:rsidRPr="000B365C">
        <w:rPr>
          <w:i/>
        </w:rPr>
        <w:t xml:space="preserve"> and </w:t>
      </w:r>
      <w:r w:rsidR="00E46C6B" w:rsidRPr="000B365C">
        <w:rPr>
          <w:i/>
        </w:rPr>
        <w:t>address health disparities</w:t>
      </w:r>
      <w:r w:rsidR="004C78A1" w:rsidRPr="000B365C">
        <w:rPr>
          <w:i/>
        </w:rPr>
        <w:t xml:space="preserve">– </w:t>
      </w:r>
    </w:p>
    <w:p w:rsidR="000B365C" w:rsidRDefault="000B365C" w:rsidP="003749A3">
      <w:pPr>
        <w:pStyle w:val="ListParagraph"/>
        <w:numPr>
          <w:ilvl w:val="0"/>
          <w:numId w:val="2"/>
        </w:numPr>
        <w:spacing w:before="240" w:after="0" w:line="240" w:lineRule="auto"/>
      </w:pPr>
      <w:r>
        <w:t>Identify EPA(s) related to these goals</w:t>
      </w:r>
    </w:p>
    <w:p w:rsidR="000B365C" w:rsidRDefault="000B365C" w:rsidP="003749A3">
      <w:pPr>
        <w:spacing w:after="0" w:line="240" w:lineRule="auto"/>
        <w:ind w:left="1440"/>
      </w:pPr>
      <w:r w:rsidRPr="000B365C">
        <w:rPr>
          <w:i/>
        </w:rPr>
        <w:t>In this example</w:t>
      </w:r>
      <w:r>
        <w:t xml:space="preserve"> </w:t>
      </w:r>
      <w:r w:rsidRPr="000B365C">
        <w:rPr>
          <w:i/>
        </w:rPr>
        <w:t xml:space="preserve">primarily EPA </w:t>
      </w:r>
      <w:r w:rsidRPr="00571EAA">
        <w:t xml:space="preserve">18 </w:t>
      </w:r>
      <w:r w:rsidR="00571EAA" w:rsidRPr="00571EAA">
        <w:t>(</w:t>
      </w:r>
      <w:r w:rsidRPr="00571EAA">
        <w:t>Advocate for patients, families, and communities to optimize health care equity and minimize health outcome disparities</w:t>
      </w:r>
      <w:r w:rsidR="00571EAA" w:rsidRPr="00571EAA">
        <w:t>)</w:t>
      </w:r>
      <w:r w:rsidR="00571EAA">
        <w:t xml:space="preserve"> </w:t>
      </w:r>
      <w:r w:rsidRPr="000B365C">
        <w:rPr>
          <w:i/>
        </w:rPr>
        <w:t>and includes some of 16</w:t>
      </w:r>
      <w:r w:rsidR="00571EAA">
        <w:rPr>
          <w:i/>
        </w:rPr>
        <w:t xml:space="preserve"> </w:t>
      </w:r>
      <w:r w:rsidR="00571EAA" w:rsidRPr="00571EAA">
        <w:rPr>
          <w:i/>
        </w:rPr>
        <w:t>(Use data to optimize the care of individuals, families and populations)</w:t>
      </w:r>
      <w:r w:rsidR="00001BAB">
        <w:rPr>
          <w:i/>
        </w:rPr>
        <w:t>.</w:t>
      </w:r>
      <w:r w:rsidRPr="000B365C">
        <w:rPr>
          <w:i/>
        </w:rPr>
        <w:t xml:space="preserve"> </w:t>
      </w:r>
    </w:p>
    <w:p w:rsidR="004C78A1" w:rsidRDefault="00E46C6B" w:rsidP="003749A3">
      <w:pPr>
        <w:pStyle w:val="ListParagraph"/>
        <w:numPr>
          <w:ilvl w:val="0"/>
          <w:numId w:val="2"/>
        </w:numPr>
        <w:spacing w:line="240" w:lineRule="auto"/>
      </w:pPr>
      <w:r>
        <w:t>Map the</w:t>
      </w:r>
      <w:r w:rsidR="004C78A1">
        <w:t>s</w:t>
      </w:r>
      <w:r>
        <w:t>e</w:t>
      </w:r>
      <w:r w:rsidR="004C78A1">
        <w:t xml:space="preserve"> EPA</w:t>
      </w:r>
      <w:r>
        <w:t>s</w:t>
      </w:r>
      <w:r w:rsidR="004C78A1">
        <w:t xml:space="preserve"> to subcompetencies and milestones using </w:t>
      </w:r>
      <w:r w:rsidR="000B365C">
        <w:t>map</w:t>
      </w:r>
      <w:r w:rsidR="002413FE">
        <w:t xml:space="preserve"> </w:t>
      </w:r>
      <w:r w:rsidR="00571EAA">
        <w:t>(</w:t>
      </w:r>
      <w:r w:rsidR="008E0B3A">
        <w:t>page 4-5 of this document</w:t>
      </w:r>
      <w:r w:rsidR="00571EAA">
        <w:t>)</w:t>
      </w:r>
      <w:r w:rsidR="008E0B3A">
        <w:t>.</w:t>
      </w:r>
    </w:p>
    <w:p w:rsidR="003749A3" w:rsidRDefault="003749A3">
      <w:r>
        <w:br w:type="page"/>
      </w:r>
    </w:p>
    <w:p w:rsidR="00571EAA" w:rsidRPr="00571EAA" w:rsidRDefault="00571EAA" w:rsidP="003749A3">
      <w:pPr>
        <w:pStyle w:val="ListParagraph"/>
        <w:numPr>
          <w:ilvl w:val="0"/>
          <w:numId w:val="2"/>
        </w:numPr>
      </w:pPr>
      <w:r w:rsidRPr="00571EAA">
        <w:lastRenderedPageBreak/>
        <w:t xml:space="preserve">Compare the above milestones and </w:t>
      </w:r>
      <w:r>
        <w:t>set</w:t>
      </w:r>
      <w:r w:rsidRPr="00571EAA">
        <w:t xml:space="preserve"> EPA-associated milestone </w:t>
      </w:r>
      <w:r>
        <w:t>goals 1-2 levels above current performance</w:t>
      </w:r>
      <w:r w:rsidRPr="00571EAA">
        <w:t xml:space="preserve">.  </w:t>
      </w:r>
      <w:hyperlink r:id="rId10" w:history="1">
        <w:r w:rsidR="00175135" w:rsidRPr="00604CFB">
          <w:rPr>
            <w:rStyle w:val="Hyperlink"/>
            <w:i/>
          </w:rPr>
          <w:t>Learning plan example</w:t>
        </w:r>
      </w:hyperlink>
      <w:bookmarkStart w:id="0" w:name="_GoBack"/>
      <w:bookmarkEnd w:id="0"/>
    </w:p>
    <w:p w:rsidR="00B17F82" w:rsidRDefault="009E13E9" w:rsidP="003749A3">
      <w:pPr>
        <w:pStyle w:val="ListParagraph"/>
        <w:numPr>
          <w:ilvl w:val="0"/>
          <w:numId w:val="2"/>
        </w:numPr>
      </w:pPr>
      <w:r>
        <w:t xml:space="preserve">Make these stretch milestones the focus of the learning plan. See separate </w:t>
      </w:r>
      <w:hyperlink r:id="rId11" w:history="1">
        <w:r w:rsidRPr="00604CFB">
          <w:rPr>
            <w:rStyle w:val="Hyperlink"/>
          </w:rPr>
          <w:t>document</w:t>
        </w:r>
      </w:hyperlink>
      <w:r>
        <w:t xml:space="preserve"> for using EPAs in curriculum development.</w:t>
      </w:r>
    </w:p>
    <w:sectPr w:rsidR="00B17F82" w:rsidSect="00C713DF">
      <w:headerReference w:type="default" r:id="rId12"/>
      <w:footerReference w:type="default" r:id="rId13"/>
      <w:pgSz w:w="12240" w:h="15840" w:code="1"/>
      <w:pgMar w:top="1440" w:right="1440" w:bottom="72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3DF" w:rsidRDefault="00C713DF" w:rsidP="005F6CE0">
      <w:pPr>
        <w:spacing w:after="0" w:line="240" w:lineRule="auto"/>
      </w:pPr>
      <w:r>
        <w:separator/>
      </w:r>
    </w:p>
  </w:endnote>
  <w:endnote w:type="continuationSeparator" w:id="0">
    <w:p w:rsidR="00C713DF" w:rsidRDefault="00C713DF" w:rsidP="005F6CE0">
      <w:pPr>
        <w:spacing w:after="0" w:line="240" w:lineRule="auto"/>
      </w:pPr>
      <w:r>
        <w:continuationSeparator/>
      </w:r>
    </w:p>
  </w:endnote>
  <w:endnote w:id="1">
    <w:p w:rsidR="00C713DF" w:rsidRDefault="00C713DF">
      <w:pPr>
        <w:pStyle w:val="EndnoteText"/>
      </w:pPr>
      <w:r>
        <w:t xml:space="preserve">Ten Cate, O. Entrustment as Assessment: Recognizing the Ability, the Right, and the Duty to Act. </w:t>
      </w:r>
      <w:r w:rsidRPr="007F54A7">
        <w:rPr>
          <w:i/>
        </w:rPr>
        <w:t>JGME</w:t>
      </w:r>
      <w:r>
        <w:t>, May 1, 2016: 261-262.</w:t>
      </w:r>
    </w:p>
    <w:p w:rsidR="00117D95" w:rsidRDefault="00117D95">
      <w:pPr>
        <w:pStyle w:val="EndnoteText"/>
      </w:pPr>
    </w:p>
    <w:p w:rsidR="00C713DF" w:rsidRPr="00117D95" w:rsidRDefault="00C713DF" w:rsidP="00B56F58">
      <w:pPr>
        <w:spacing w:after="0"/>
        <w:jc w:val="center"/>
        <w:rPr>
          <w:sz w:val="44"/>
          <w:szCs w:val="44"/>
        </w:rPr>
      </w:pPr>
      <w:r w:rsidRPr="00117D95">
        <w:rPr>
          <w:sz w:val="44"/>
          <w:szCs w:val="44"/>
        </w:rPr>
        <w:t>Entrustable Professional Activities</w:t>
      </w:r>
    </w:p>
    <w:tbl>
      <w:tblPr>
        <w:tblStyle w:val="TableGrid"/>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7"/>
      </w:tblGrid>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Provide a usual source of comprehensive, longitudinal medical care for people of all ages.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Care for patients and families in multiple settings.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Provide first-contact access to care for health issues and medical problems.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Provide preventive care that improves wellness, modifies risk factors for illness and injury, and detects illness in early, treatable stages.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Provide care that speeds recovery from illness and improves function.</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Evaluate and manage undifferentiated symptoms and complex conditions.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Diagnose and manage chronic medical conditions and multiple co-morbidities.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Diagnose and manage mental health conditions.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Diagnose and manage acute illness and injury.</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Perform common procedures in the outpatient or inpatient setting.</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Manage prenatal, labor, delivery and post-partum care.</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Manage end-of-life and palliative care.</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Manage inpatient care, discharge planning, transitions of care.</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Manage care for patients with medical emergencies.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Develop trusting relationships and sustained partnerships with patients, families and communities.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Use data to optimize the care of individuals, families and populations.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In the context of culture and health beliefs of patients and families, use the best science to set mutual health goals and provide services most likely to benefit health.</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Advocate for patients, families, and communities to optimize health care equity and minimize health outcome disparities</w:t>
            </w:r>
          </w:p>
          <w:p w:rsidR="00C713DF" w:rsidRPr="00C713DF" w:rsidRDefault="00C713DF" w:rsidP="00B56F58">
            <w:pPr>
              <w:rPr>
                <w:rFonts w:eastAsia="Times New Roman" w:cs="Noto Serif"/>
                <w:color w:val="000000"/>
                <w:sz w:val="10"/>
                <w:szCs w:val="10"/>
              </w:rPr>
            </w:pPr>
          </w:p>
        </w:tc>
      </w:tr>
      <w:tr w:rsidR="00C713DF" w:rsidRPr="00F168C7" w:rsidTr="00C713DF">
        <w:trPr>
          <w:trHeight w:val="300"/>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Provide leadership within interprofessional health care teams.</w:t>
            </w:r>
          </w:p>
          <w:p w:rsidR="00C713DF" w:rsidRPr="00C713DF" w:rsidRDefault="00C713DF" w:rsidP="00B56F58">
            <w:pPr>
              <w:rPr>
                <w:rFonts w:eastAsia="Times New Roman" w:cs="Noto Serif"/>
                <w:color w:val="000000"/>
                <w:sz w:val="10"/>
                <w:szCs w:val="10"/>
              </w:rPr>
            </w:pPr>
          </w:p>
        </w:tc>
      </w:tr>
      <w:tr w:rsidR="00C713DF" w:rsidRPr="00F168C7" w:rsidTr="00C713DF">
        <w:trPr>
          <w:trHeight w:val="315"/>
        </w:trPr>
        <w:tc>
          <w:tcPr>
            <w:tcW w:w="8817" w:type="dxa"/>
            <w:noWrap/>
            <w:hideMark/>
          </w:tcPr>
          <w:p w:rsidR="00C713DF" w:rsidRPr="00C713DF" w:rsidRDefault="00C713DF" w:rsidP="00C713DF">
            <w:pPr>
              <w:pStyle w:val="ListParagraph"/>
              <w:numPr>
                <w:ilvl w:val="0"/>
                <w:numId w:val="3"/>
              </w:numPr>
              <w:rPr>
                <w:rFonts w:eastAsia="Times New Roman" w:cs="Noto Serif"/>
                <w:color w:val="000000"/>
              </w:rPr>
            </w:pPr>
            <w:r w:rsidRPr="00C713DF">
              <w:rPr>
                <w:rFonts w:eastAsia="Times New Roman" w:cs="Noto Serif"/>
                <w:color w:val="000000"/>
              </w:rPr>
              <w:t>Coordinate care and evaluate specialty consultation as the condition of the patient requires.</w:t>
            </w:r>
          </w:p>
        </w:tc>
      </w:tr>
    </w:tbl>
    <w:p w:rsidR="00C713DF" w:rsidRPr="00C713DF" w:rsidRDefault="00C713DF" w:rsidP="00B56F58">
      <w:pPr>
        <w:spacing w:after="0"/>
        <w:jc w:val="center"/>
        <w:rPr>
          <w:sz w:val="32"/>
          <w:szCs w:val="32"/>
        </w:rPr>
      </w:pPr>
    </w:p>
    <w:p w:rsidR="00C713DF" w:rsidRPr="00DF6E40" w:rsidRDefault="00C713DF" w:rsidP="00B56F58">
      <w:pPr>
        <w:spacing w:after="0"/>
        <w:jc w:val="center"/>
        <w:rPr>
          <w:sz w:val="48"/>
        </w:rPr>
      </w:pPr>
      <w:r w:rsidRPr="00DF6E40">
        <w:rPr>
          <w:sz w:val="48"/>
        </w:rPr>
        <w:t>Subcompetency with Milestone Level</w:t>
      </w:r>
    </w:p>
    <w:tbl>
      <w:tblPr>
        <w:tblStyle w:val="TableGrid"/>
        <w:tblW w:w="11452" w:type="dxa"/>
        <w:jc w:val="center"/>
        <w:tblLook w:val="04A0" w:firstRow="1" w:lastRow="0" w:firstColumn="1" w:lastColumn="0" w:noHBand="0" w:noVBand="1"/>
      </w:tblPr>
      <w:tblGrid>
        <w:gridCol w:w="2497"/>
        <w:gridCol w:w="444"/>
        <w:gridCol w:w="445"/>
        <w:gridCol w:w="444"/>
        <w:gridCol w:w="445"/>
        <w:gridCol w:w="444"/>
        <w:gridCol w:w="445"/>
        <w:gridCol w:w="445"/>
        <w:gridCol w:w="446"/>
        <w:gridCol w:w="445"/>
        <w:gridCol w:w="446"/>
        <w:gridCol w:w="446"/>
        <w:gridCol w:w="445"/>
        <w:gridCol w:w="446"/>
        <w:gridCol w:w="445"/>
        <w:gridCol w:w="446"/>
        <w:gridCol w:w="445"/>
        <w:gridCol w:w="446"/>
        <w:gridCol w:w="445"/>
        <w:gridCol w:w="446"/>
        <w:gridCol w:w="496"/>
      </w:tblGrid>
      <w:tr w:rsidR="00C713DF" w:rsidTr="00C713DF">
        <w:trPr>
          <w:jc w:val="center"/>
        </w:trPr>
        <w:tc>
          <w:tcPr>
            <w:tcW w:w="2497" w:type="dxa"/>
          </w:tcPr>
          <w:p w:rsidR="00C713DF" w:rsidRPr="00FD3DB3" w:rsidRDefault="00C713DF" w:rsidP="00B56F58">
            <w:pPr>
              <w:rPr>
                <w:b/>
                <w:sz w:val="20"/>
                <w:szCs w:val="20"/>
              </w:rPr>
            </w:pPr>
            <w:r w:rsidRPr="00FD3DB3">
              <w:rPr>
                <w:b/>
                <w:sz w:val="20"/>
                <w:szCs w:val="20"/>
              </w:rPr>
              <w:t>EPA Number</w:t>
            </w:r>
          </w:p>
        </w:tc>
        <w:tc>
          <w:tcPr>
            <w:tcW w:w="444" w:type="dxa"/>
          </w:tcPr>
          <w:p w:rsidR="00C713DF" w:rsidRPr="00FD3DB3" w:rsidRDefault="00C713DF" w:rsidP="00B56F58">
            <w:pPr>
              <w:rPr>
                <w:b/>
                <w:sz w:val="20"/>
                <w:szCs w:val="20"/>
              </w:rPr>
            </w:pPr>
            <w:r w:rsidRPr="00FD3DB3">
              <w:rPr>
                <w:b/>
                <w:sz w:val="20"/>
                <w:szCs w:val="20"/>
              </w:rPr>
              <w:t>1</w:t>
            </w:r>
          </w:p>
        </w:tc>
        <w:tc>
          <w:tcPr>
            <w:tcW w:w="445" w:type="dxa"/>
          </w:tcPr>
          <w:p w:rsidR="00C713DF" w:rsidRPr="00FD3DB3" w:rsidRDefault="00C713DF" w:rsidP="00B56F58">
            <w:pPr>
              <w:rPr>
                <w:b/>
                <w:sz w:val="20"/>
                <w:szCs w:val="20"/>
              </w:rPr>
            </w:pPr>
            <w:r w:rsidRPr="00FD3DB3">
              <w:rPr>
                <w:b/>
                <w:sz w:val="20"/>
                <w:szCs w:val="20"/>
              </w:rPr>
              <w:t>2</w:t>
            </w:r>
          </w:p>
        </w:tc>
        <w:tc>
          <w:tcPr>
            <w:tcW w:w="444" w:type="dxa"/>
          </w:tcPr>
          <w:p w:rsidR="00C713DF" w:rsidRPr="00FD3DB3" w:rsidRDefault="00C713DF" w:rsidP="00B56F58">
            <w:pPr>
              <w:rPr>
                <w:b/>
                <w:sz w:val="20"/>
                <w:szCs w:val="20"/>
              </w:rPr>
            </w:pPr>
            <w:r w:rsidRPr="00FD3DB3">
              <w:rPr>
                <w:b/>
                <w:sz w:val="20"/>
                <w:szCs w:val="20"/>
              </w:rPr>
              <w:t>3</w:t>
            </w:r>
          </w:p>
        </w:tc>
        <w:tc>
          <w:tcPr>
            <w:tcW w:w="445" w:type="dxa"/>
          </w:tcPr>
          <w:p w:rsidR="00C713DF" w:rsidRPr="00FD3DB3" w:rsidRDefault="00C713DF" w:rsidP="00B56F58">
            <w:pPr>
              <w:rPr>
                <w:b/>
                <w:sz w:val="20"/>
                <w:szCs w:val="20"/>
              </w:rPr>
            </w:pPr>
            <w:r w:rsidRPr="00FD3DB3">
              <w:rPr>
                <w:b/>
                <w:sz w:val="20"/>
                <w:szCs w:val="20"/>
              </w:rPr>
              <w:t>4</w:t>
            </w:r>
          </w:p>
        </w:tc>
        <w:tc>
          <w:tcPr>
            <w:tcW w:w="444" w:type="dxa"/>
          </w:tcPr>
          <w:p w:rsidR="00C713DF" w:rsidRPr="00FD3DB3" w:rsidRDefault="00C713DF" w:rsidP="00B56F58">
            <w:pPr>
              <w:rPr>
                <w:b/>
                <w:sz w:val="20"/>
                <w:szCs w:val="20"/>
              </w:rPr>
            </w:pPr>
            <w:r w:rsidRPr="00FD3DB3">
              <w:rPr>
                <w:b/>
                <w:sz w:val="20"/>
                <w:szCs w:val="20"/>
              </w:rPr>
              <w:t>5</w:t>
            </w:r>
          </w:p>
        </w:tc>
        <w:tc>
          <w:tcPr>
            <w:tcW w:w="445" w:type="dxa"/>
          </w:tcPr>
          <w:p w:rsidR="00C713DF" w:rsidRPr="00FD3DB3" w:rsidRDefault="00C713DF" w:rsidP="00B56F58">
            <w:pPr>
              <w:rPr>
                <w:b/>
                <w:sz w:val="20"/>
                <w:szCs w:val="20"/>
              </w:rPr>
            </w:pPr>
            <w:r w:rsidRPr="00FD3DB3">
              <w:rPr>
                <w:b/>
                <w:sz w:val="20"/>
                <w:szCs w:val="20"/>
              </w:rPr>
              <w:t>6</w:t>
            </w:r>
          </w:p>
        </w:tc>
        <w:tc>
          <w:tcPr>
            <w:tcW w:w="445" w:type="dxa"/>
          </w:tcPr>
          <w:p w:rsidR="00C713DF" w:rsidRPr="00FD3DB3" w:rsidRDefault="00C713DF" w:rsidP="00B56F58">
            <w:pPr>
              <w:rPr>
                <w:b/>
                <w:sz w:val="20"/>
                <w:szCs w:val="20"/>
              </w:rPr>
            </w:pPr>
            <w:r w:rsidRPr="00FD3DB3">
              <w:rPr>
                <w:b/>
                <w:sz w:val="20"/>
                <w:szCs w:val="20"/>
              </w:rPr>
              <w:t>7</w:t>
            </w:r>
          </w:p>
        </w:tc>
        <w:tc>
          <w:tcPr>
            <w:tcW w:w="446" w:type="dxa"/>
          </w:tcPr>
          <w:p w:rsidR="00C713DF" w:rsidRPr="00FD3DB3" w:rsidRDefault="00C713DF" w:rsidP="00B56F58">
            <w:pPr>
              <w:rPr>
                <w:b/>
                <w:sz w:val="20"/>
                <w:szCs w:val="20"/>
              </w:rPr>
            </w:pPr>
            <w:r w:rsidRPr="00FD3DB3">
              <w:rPr>
                <w:b/>
                <w:sz w:val="20"/>
                <w:szCs w:val="20"/>
              </w:rPr>
              <w:t>8</w:t>
            </w:r>
          </w:p>
        </w:tc>
        <w:tc>
          <w:tcPr>
            <w:tcW w:w="445" w:type="dxa"/>
          </w:tcPr>
          <w:p w:rsidR="00C713DF" w:rsidRPr="00FD3DB3" w:rsidRDefault="00C713DF" w:rsidP="00B56F58">
            <w:pPr>
              <w:rPr>
                <w:b/>
                <w:sz w:val="20"/>
                <w:szCs w:val="20"/>
              </w:rPr>
            </w:pPr>
            <w:r w:rsidRPr="00FD3DB3">
              <w:rPr>
                <w:b/>
                <w:sz w:val="20"/>
                <w:szCs w:val="20"/>
              </w:rPr>
              <w:t>9</w:t>
            </w:r>
          </w:p>
        </w:tc>
        <w:tc>
          <w:tcPr>
            <w:tcW w:w="446" w:type="dxa"/>
          </w:tcPr>
          <w:p w:rsidR="00C713DF" w:rsidRPr="00FD3DB3" w:rsidRDefault="00C713DF" w:rsidP="00B56F58">
            <w:pPr>
              <w:rPr>
                <w:b/>
                <w:sz w:val="20"/>
                <w:szCs w:val="20"/>
              </w:rPr>
            </w:pPr>
            <w:r w:rsidRPr="00FD3DB3">
              <w:rPr>
                <w:b/>
                <w:sz w:val="20"/>
                <w:szCs w:val="20"/>
              </w:rPr>
              <w:t>10</w:t>
            </w:r>
          </w:p>
        </w:tc>
        <w:tc>
          <w:tcPr>
            <w:tcW w:w="446" w:type="dxa"/>
          </w:tcPr>
          <w:p w:rsidR="00C713DF" w:rsidRPr="00FD3DB3" w:rsidRDefault="00C713DF" w:rsidP="00B56F58">
            <w:pPr>
              <w:rPr>
                <w:b/>
                <w:sz w:val="20"/>
                <w:szCs w:val="20"/>
              </w:rPr>
            </w:pPr>
            <w:r w:rsidRPr="00FD3DB3">
              <w:rPr>
                <w:b/>
                <w:sz w:val="20"/>
                <w:szCs w:val="20"/>
              </w:rPr>
              <w:t>11</w:t>
            </w:r>
          </w:p>
        </w:tc>
        <w:tc>
          <w:tcPr>
            <w:tcW w:w="445" w:type="dxa"/>
          </w:tcPr>
          <w:p w:rsidR="00C713DF" w:rsidRPr="00FD3DB3" w:rsidRDefault="00C713DF" w:rsidP="00B56F58">
            <w:pPr>
              <w:rPr>
                <w:b/>
                <w:sz w:val="20"/>
                <w:szCs w:val="20"/>
              </w:rPr>
            </w:pPr>
            <w:r w:rsidRPr="00FD3DB3">
              <w:rPr>
                <w:b/>
                <w:sz w:val="20"/>
                <w:szCs w:val="20"/>
              </w:rPr>
              <w:t>12</w:t>
            </w:r>
          </w:p>
        </w:tc>
        <w:tc>
          <w:tcPr>
            <w:tcW w:w="446" w:type="dxa"/>
          </w:tcPr>
          <w:p w:rsidR="00C713DF" w:rsidRPr="00FD3DB3" w:rsidRDefault="00C713DF" w:rsidP="00B56F58">
            <w:pPr>
              <w:rPr>
                <w:b/>
                <w:sz w:val="20"/>
                <w:szCs w:val="20"/>
              </w:rPr>
            </w:pPr>
            <w:r w:rsidRPr="00FD3DB3">
              <w:rPr>
                <w:b/>
                <w:sz w:val="20"/>
                <w:szCs w:val="20"/>
              </w:rPr>
              <w:t>13</w:t>
            </w:r>
          </w:p>
        </w:tc>
        <w:tc>
          <w:tcPr>
            <w:tcW w:w="445" w:type="dxa"/>
          </w:tcPr>
          <w:p w:rsidR="00C713DF" w:rsidRPr="00FD3DB3" w:rsidRDefault="00C713DF" w:rsidP="00B56F58">
            <w:pPr>
              <w:rPr>
                <w:b/>
                <w:sz w:val="20"/>
                <w:szCs w:val="20"/>
              </w:rPr>
            </w:pPr>
            <w:r w:rsidRPr="00FD3DB3">
              <w:rPr>
                <w:b/>
                <w:sz w:val="20"/>
                <w:szCs w:val="20"/>
              </w:rPr>
              <w:t>14</w:t>
            </w:r>
          </w:p>
        </w:tc>
        <w:tc>
          <w:tcPr>
            <w:tcW w:w="446" w:type="dxa"/>
          </w:tcPr>
          <w:p w:rsidR="00C713DF" w:rsidRPr="00FD3DB3" w:rsidRDefault="00C713DF" w:rsidP="00B56F58">
            <w:pPr>
              <w:rPr>
                <w:b/>
                <w:sz w:val="20"/>
                <w:szCs w:val="20"/>
              </w:rPr>
            </w:pPr>
            <w:r w:rsidRPr="00FD3DB3">
              <w:rPr>
                <w:b/>
                <w:sz w:val="20"/>
                <w:szCs w:val="20"/>
              </w:rPr>
              <w:t>15</w:t>
            </w:r>
          </w:p>
        </w:tc>
        <w:tc>
          <w:tcPr>
            <w:tcW w:w="445" w:type="dxa"/>
          </w:tcPr>
          <w:p w:rsidR="00C713DF" w:rsidRPr="00FD3DB3" w:rsidRDefault="00C713DF" w:rsidP="00B56F58">
            <w:pPr>
              <w:rPr>
                <w:b/>
                <w:sz w:val="20"/>
                <w:szCs w:val="20"/>
              </w:rPr>
            </w:pPr>
            <w:r w:rsidRPr="00FD3DB3">
              <w:rPr>
                <w:b/>
                <w:sz w:val="20"/>
                <w:szCs w:val="20"/>
              </w:rPr>
              <w:t>16</w:t>
            </w:r>
          </w:p>
        </w:tc>
        <w:tc>
          <w:tcPr>
            <w:tcW w:w="446" w:type="dxa"/>
          </w:tcPr>
          <w:p w:rsidR="00C713DF" w:rsidRPr="00FD3DB3" w:rsidRDefault="00C713DF" w:rsidP="00B56F58">
            <w:pPr>
              <w:rPr>
                <w:b/>
                <w:sz w:val="20"/>
                <w:szCs w:val="20"/>
              </w:rPr>
            </w:pPr>
            <w:r w:rsidRPr="00FD3DB3">
              <w:rPr>
                <w:b/>
                <w:sz w:val="20"/>
                <w:szCs w:val="20"/>
              </w:rPr>
              <w:t>17</w:t>
            </w:r>
          </w:p>
        </w:tc>
        <w:tc>
          <w:tcPr>
            <w:tcW w:w="445" w:type="dxa"/>
          </w:tcPr>
          <w:p w:rsidR="00C713DF" w:rsidRPr="00FD3DB3" w:rsidRDefault="00C713DF" w:rsidP="00B56F58">
            <w:pPr>
              <w:rPr>
                <w:b/>
                <w:sz w:val="20"/>
                <w:szCs w:val="20"/>
              </w:rPr>
            </w:pPr>
            <w:r w:rsidRPr="00FD3DB3">
              <w:rPr>
                <w:b/>
                <w:sz w:val="20"/>
                <w:szCs w:val="20"/>
              </w:rPr>
              <w:t>18</w:t>
            </w:r>
          </w:p>
        </w:tc>
        <w:tc>
          <w:tcPr>
            <w:tcW w:w="446" w:type="dxa"/>
          </w:tcPr>
          <w:p w:rsidR="00C713DF" w:rsidRPr="00FD3DB3" w:rsidRDefault="00C713DF" w:rsidP="00B56F58">
            <w:pPr>
              <w:rPr>
                <w:b/>
                <w:sz w:val="20"/>
                <w:szCs w:val="20"/>
              </w:rPr>
            </w:pPr>
            <w:r w:rsidRPr="00FD3DB3">
              <w:rPr>
                <w:b/>
                <w:sz w:val="20"/>
                <w:szCs w:val="20"/>
              </w:rPr>
              <w:t>19</w:t>
            </w:r>
          </w:p>
        </w:tc>
        <w:tc>
          <w:tcPr>
            <w:tcW w:w="496" w:type="dxa"/>
          </w:tcPr>
          <w:p w:rsidR="00C713DF" w:rsidRPr="00FD3DB3" w:rsidRDefault="00C713DF" w:rsidP="00B56F58">
            <w:pPr>
              <w:rPr>
                <w:b/>
                <w:sz w:val="20"/>
                <w:szCs w:val="20"/>
              </w:rPr>
            </w:pPr>
            <w:r w:rsidRPr="00FD3DB3">
              <w:rPr>
                <w:b/>
                <w:sz w:val="20"/>
                <w:szCs w:val="20"/>
              </w:rPr>
              <w:t>20</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PC1</w:t>
            </w:r>
          </w:p>
          <w:p w:rsidR="00C713DF" w:rsidRPr="005F71E2" w:rsidRDefault="00C713DF" w:rsidP="00B56F58">
            <w:pPr>
              <w:rPr>
                <w:rFonts w:ascii="Calibri" w:hAnsi="Calibri"/>
                <w:color w:val="000000"/>
              </w:rPr>
            </w:pPr>
            <w:r w:rsidRPr="005F71E2">
              <w:rPr>
                <w:rFonts w:ascii="Calibri" w:hAnsi="Calibri"/>
                <w:color w:val="000000"/>
                <w:sz w:val="18"/>
              </w:rPr>
              <w:t>Cares for acutely ill patients</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PC2</w:t>
            </w:r>
          </w:p>
          <w:p w:rsidR="00C713DF" w:rsidRPr="005F71E2" w:rsidRDefault="00C713DF" w:rsidP="00B56F58">
            <w:pPr>
              <w:rPr>
                <w:rFonts w:ascii="Calibri" w:hAnsi="Calibri"/>
                <w:color w:val="000000"/>
              </w:rPr>
            </w:pPr>
            <w:r w:rsidRPr="005F71E2">
              <w:rPr>
                <w:rFonts w:ascii="Calibri" w:hAnsi="Calibri"/>
                <w:color w:val="000000"/>
                <w:sz w:val="18"/>
              </w:rPr>
              <w:t>Cares for patients with chronic conditions</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5</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PC3</w:t>
            </w:r>
          </w:p>
          <w:p w:rsidR="00C713DF" w:rsidRPr="005F71E2" w:rsidRDefault="00C713DF" w:rsidP="00B56F58">
            <w:pPr>
              <w:rPr>
                <w:rFonts w:ascii="Calibri" w:hAnsi="Calibri"/>
                <w:color w:val="000000"/>
              </w:rPr>
            </w:pPr>
            <w:r w:rsidRPr="005F71E2">
              <w:rPr>
                <w:rFonts w:ascii="Calibri" w:hAnsi="Calibri"/>
                <w:color w:val="000000"/>
                <w:sz w:val="18"/>
              </w:rPr>
              <w:t>Disease prevention and health promotion</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PC4</w:t>
            </w:r>
          </w:p>
          <w:p w:rsidR="00C713DF" w:rsidRPr="005F71E2" w:rsidRDefault="00C713DF" w:rsidP="00B56F58">
            <w:pPr>
              <w:rPr>
                <w:rFonts w:ascii="Calibri" w:hAnsi="Calibri"/>
                <w:color w:val="000000"/>
              </w:rPr>
            </w:pPr>
            <w:r w:rsidRPr="005F71E2">
              <w:rPr>
                <w:rFonts w:ascii="Calibri" w:hAnsi="Calibri"/>
                <w:color w:val="000000"/>
                <w:sz w:val="18"/>
              </w:rPr>
              <w:t>Manages unclear diagnoses</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PC5</w:t>
            </w:r>
          </w:p>
          <w:p w:rsidR="00C713DF" w:rsidRPr="005F71E2" w:rsidRDefault="00C713DF" w:rsidP="00B56F58">
            <w:pPr>
              <w:rPr>
                <w:rFonts w:ascii="Calibri" w:hAnsi="Calibri"/>
                <w:color w:val="000000"/>
              </w:rPr>
            </w:pPr>
            <w:r w:rsidRPr="005F71E2">
              <w:rPr>
                <w:rFonts w:ascii="Calibri" w:hAnsi="Calibri"/>
                <w:color w:val="000000"/>
                <w:sz w:val="18"/>
              </w:rPr>
              <w:t>Performs appropriate procedures</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MK1</w:t>
            </w:r>
          </w:p>
          <w:p w:rsidR="00C713DF" w:rsidRPr="005F71E2" w:rsidRDefault="00C713DF" w:rsidP="00B56F58">
            <w:pPr>
              <w:rPr>
                <w:rFonts w:ascii="Calibri" w:hAnsi="Calibri"/>
                <w:color w:val="000000"/>
              </w:rPr>
            </w:pPr>
            <w:r w:rsidRPr="005F71E2">
              <w:rPr>
                <w:rFonts w:ascii="Calibri" w:hAnsi="Calibri"/>
                <w:color w:val="000000"/>
                <w:sz w:val="18"/>
              </w:rPr>
              <w:t>Performs appropriate procedures</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MK2</w:t>
            </w:r>
          </w:p>
          <w:p w:rsidR="00C713DF" w:rsidRPr="005F71E2" w:rsidRDefault="00C713DF" w:rsidP="00B56F58">
            <w:pPr>
              <w:rPr>
                <w:rFonts w:ascii="Calibri" w:hAnsi="Calibri"/>
                <w:color w:val="000000"/>
              </w:rPr>
            </w:pPr>
            <w:r w:rsidRPr="005F71E2">
              <w:rPr>
                <w:rFonts w:ascii="Calibri" w:hAnsi="Calibri"/>
                <w:color w:val="000000"/>
                <w:sz w:val="18"/>
              </w:rPr>
              <w:t>Applies critical thinking</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SBP1</w:t>
            </w:r>
          </w:p>
          <w:p w:rsidR="00C713DF" w:rsidRPr="005F71E2" w:rsidRDefault="00C713DF" w:rsidP="00B56F58">
            <w:pPr>
              <w:rPr>
                <w:rFonts w:ascii="Calibri" w:hAnsi="Calibri"/>
                <w:color w:val="000000"/>
              </w:rPr>
            </w:pPr>
            <w:r w:rsidRPr="005F71E2">
              <w:rPr>
                <w:rFonts w:ascii="Calibri" w:hAnsi="Calibri"/>
                <w:color w:val="000000"/>
                <w:sz w:val="18"/>
              </w:rPr>
              <w:t>Cost conscious care</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3/4</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SBP2</w:t>
            </w:r>
          </w:p>
          <w:p w:rsidR="00C713DF" w:rsidRPr="005F71E2" w:rsidRDefault="00C713DF" w:rsidP="00B56F58">
            <w:pPr>
              <w:rPr>
                <w:rFonts w:ascii="Calibri" w:hAnsi="Calibri"/>
                <w:color w:val="000000"/>
              </w:rPr>
            </w:pPr>
            <w:r w:rsidRPr="005F71E2">
              <w:rPr>
                <w:rFonts w:ascii="Calibri" w:hAnsi="Calibri"/>
                <w:color w:val="000000"/>
                <w:sz w:val="18"/>
              </w:rPr>
              <w:t>Emphasizes patient safety</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SBP3</w:t>
            </w:r>
          </w:p>
          <w:p w:rsidR="00C713DF" w:rsidRPr="005F71E2" w:rsidRDefault="00C713DF" w:rsidP="00B56F58">
            <w:pPr>
              <w:rPr>
                <w:rFonts w:ascii="Calibri" w:hAnsi="Calibri"/>
                <w:color w:val="000000"/>
              </w:rPr>
            </w:pPr>
            <w:r w:rsidRPr="005F71E2">
              <w:rPr>
                <w:rFonts w:ascii="Calibri" w:hAnsi="Calibri"/>
                <w:color w:val="000000"/>
                <w:sz w:val="18"/>
              </w:rPr>
              <w:t>Advocates for individual and community health</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SBP4</w:t>
            </w:r>
          </w:p>
          <w:p w:rsidR="00C713DF" w:rsidRPr="005F71E2" w:rsidRDefault="00C713DF" w:rsidP="00B56F58">
            <w:pPr>
              <w:rPr>
                <w:rFonts w:ascii="Calibri" w:hAnsi="Calibri"/>
                <w:color w:val="000000"/>
              </w:rPr>
            </w:pPr>
            <w:r>
              <w:rPr>
                <w:rFonts w:ascii="Calibri" w:hAnsi="Calibri"/>
                <w:color w:val="000000"/>
              </w:rPr>
              <w:t>Coordinates team based care</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9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PBL1</w:t>
            </w:r>
          </w:p>
          <w:p w:rsidR="00C713DF" w:rsidRPr="005F71E2" w:rsidRDefault="00C713DF" w:rsidP="00B56F58">
            <w:pPr>
              <w:rPr>
                <w:rFonts w:ascii="Calibri" w:hAnsi="Calibri"/>
                <w:color w:val="000000"/>
              </w:rPr>
            </w:pPr>
            <w:r w:rsidRPr="005F71E2">
              <w:rPr>
                <w:rFonts w:ascii="Calibri" w:hAnsi="Calibri"/>
                <w:color w:val="000000"/>
                <w:sz w:val="18"/>
              </w:rPr>
              <w:t>Locates, appraises and assimilates evidence</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tabs>
                <w:tab w:val="left" w:pos="930"/>
              </w:tabs>
              <w:rPr>
                <w:b/>
                <w:sz w:val="20"/>
                <w:szCs w:val="20"/>
              </w:rPr>
            </w:pPr>
            <w:r w:rsidRPr="00FD3DB3">
              <w:rPr>
                <w:b/>
                <w:sz w:val="20"/>
                <w:szCs w:val="20"/>
              </w:rPr>
              <w:t>PBL2</w:t>
            </w:r>
            <w:r w:rsidRPr="00FD3DB3">
              <w:rPr>
                <w:b/>
                <w:sz w:val="20"/>
                <w:szCs w:val="20"/>
              </w:rPr>
              <w:tab/>
            </w:r>
          </w:p>
          <w:p w:rsidR="00C713DF" w:rsidRPr="005F71E2" w:rsidRDefault="00C713DF" w:rsidP="00B56F58">
            <w:pPr>
              <w:rPr>
                <w:rFonts w:ascii="Calibri" w:hAnsi="Calibri"/>
                <w:color w:val="000000"/>
              </w:rPr>
            </w:pPr>
            <w:r w:rsidRPr="005F71E2">
              <w:rPr>
                <w:rFonts w:ascii="Calibri" w:hAnsi="Calibri"/>
                <w:color w:val="000000"/>
                <w:sz w:val="18"/>
              </w:rPr>
              <w:t>Self-Directed learning</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PBL3</w:t>
            </w:r>
          </w:p>
          <w:p w:rsidR="00C713DF" w:rsidRPr="005F71E2" w:rsidRDefault="00C713DF" w:rsidP="00B56F58">
            <w:pPr>
              <w:rPr>
                <w:rFonts w:ascii="Calibri" w:hAnsi="Calibri"/>
                <w:color w:val="000000"/>
              </w:rPr>
            </w:pPr>
            <w:r w:rsidRPr="005F71E2">
              <w:rPr>
                <w:rFonts w:ascii="Calibri" w:hAnsi="Calibri"/>
                <w:color w:val="000000"/>
                <w:sz w:val="18"/>
              </w:rPr>
              <w:t>Improves systems</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Prof1</w:t>
            </w:r>
          </w:p>
          <w:p w:rsidR="00C713DF" w:rsidRPr="005F71E2" w:rsidRDefault="00C713DF" w:rsidP="00B56F58">
            <w:pPr>
              <w:rPr>
                <w:rFonts w:ascii="Calibri" w:hAnsi="Calibri"/>
                <w:color w:val="000000"/>
              </w:rPr>
            </w:pPr>
            <w:r w:rsidRPr="005F71E2">
              <w:rPr>
                <w:rFonts w:ascii="Calibri" w:hAnsi="Calibri"/>
                <w:color w:val="000000"/>
                <w:sz w:val="18"/>
              </w:rPr>
              <w:t>Completes process of professionalization</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Prof2</w:t>
            </w:r>
          </w:p>
          <w:p w:rsidR="00C713DF" w:rsidRPr="005F71E2" w:rsidRDefault="00C713DF" w:rsidP="00B56F58">
            <w:pPr>
              <w:rPr>
                <w:rFonts w:ascii="Calibri" w:hAnsi="Calibri"/>
                <w:color w:val="000000"/>
              </w:rPr>
            </w:pPr>
            <w:r w:rsidRPr="005F71E2">
              <w:rPr>
                <w:rFonts w:ascii="Calibri" w:hAnsi="Calibri"/>
                <w:color w:val="000000"/>
                <w:sz w:val="18"/>
              </w:rPr>
              <w:t>Professional conduct and accountability</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96" w:type="dxa"/>
          </w:tcPr>
          <w:p w:rsidR="00C713DF" w:rsidRPr="00C65D1D" w:rsidRDefault="00C713DF" w:rsidP="00B56F58">
            <w:pPr>
              <w:rPr>
                <w:sz w:val="20"/>
                <w:szCs w:val="20"/>
              </w:rPr>
            </w:pPr>
            <w:r>
              <w:rPr>
                <w:sz w:val="20"/>
                <w:szCs w:val="20"/>
              </w:rPr>
              <w:t>-</w:t>
            </w:r>
          </w:p>
        </w:tc>
      </w:tr>
      <w:tr w:rsidR="00C713DF" w:rsidTr="00A638A3">
        <w:trPr>
          <w:jc w:val="center"/>
        </w:trPr>
        <w:tc>
          <w:tcPr>
            <w:tcW w:w="2497" w:type="dxa"/>
            <w:tcBorders>
              <w:bottom w:val="single" w:sz="4" w:space="0" w:color="auto"/>
            </w:tcBorders>
          </w:tcPr>
          <w:p w:rsidR="00C713DF" w:rsidRPr="00FD3DB3" w:rsidRDefault="00C713DF" w:rsidP="00B56F58">
            <w:pPr>
              <w:rPr>
                <w:b/>
                <w:sz w:val="20"/>
                <w:szCs w:val="20"/>
              </w:rPr>
            </w:pPr>
            <w:r w:rsidRPr="00FD3DB3">
              <w:rPr>
                <w:b/>
                <w:sz w:val="20"/>
                <w:szCs w:val="20"/>
              </w:rPr>
              <w:t>Prof3</w:t>
            </w:r>
          </w:p>
          <w:p w:rsidR="00C713DF" w:rsidRPr="005F71E2" w:rsidRDefault="00C713DF" w:rsidP="00B56F58">
            <w:pPr>
              <w:rPr>
                <w:rFonts w:ascii="Calibri" w:hAnsi="Calibri"/>
                <w:color w:val="000000"/>
              </w:rPr>
            </w:pPr>
            <w:r w:rsidRPr="005F71E2">
              <w:rPr>
                <w:rFonts w:ascii="Calibri" w:hAnsi="Calibri"/>
                <w:color w:val="000000"/>
                <w:sz w:val="18"/>
              </w:rPr>
              <w:t>Demonstrates humanism</w:t>
            </w:r>
          </w:p>
        </w:tc>
        <w:tc>
          <w:tcPr>
            <w:tcW w:w="444"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96" w:type="dxa"/>
            <w:tcBorders>
              <w:bottom w:val="single" w:sz="4" w:space="0" w:color="auto"/>
            </w:tcBorders>
          </w:tcPr>
          <w:p w:rsidR="00C713DF" w:rsidRPr="00C65D1D" w:rsidRDefault="00C713DF" w:rsidP="00B56F58">
            <w:pPr>
              <w:rPr>
                <w:sz w:val="20"/>
                <w:szCs w:val="20"/>
              </w:rPr>
            </w:pPr>
            <w:r>
              <w:rPr>
                <w:sz w:val="20"/>
                <w:szCs w:val="20"/>
              </w:rPr>
              <w:t>-</w:t>
            </w:r>
          </w:p>
        </w:tc>
      </w:tr>
      <w:tr w:rsidR="00C713DF" w:rsidTr="00A638A3">
        <w:trPr>
          <w:jc w:val="center"/>
        </w:trPr>
        <w:tc>
          <w:tcPr>
            <w:tcW w:w="2497" w:type="dxa"/>
            <w:tcBorders>
              <w:bottom w:val="single" w:sz="4" w:space="0" w:color="auto"/>
            </w:tcBorders>
          </w:tcPr>
          <w:p w:rsidR="00C713DF" w:rsidRPr="00FD3DB3" w:rsidRDefault="00C713DF" w:rsidP="00B56F58">
            <w:pPr>
              <w:rPr>
                <w:b/>
                <w:sz w:val="20"/>
                <w:szCs w:val="20"/>
              </w:rPr>
            </w:pPr>
            <w:r w:rsidRPr="00FD3DB3">
              <w:rPr>
                <w:b/>
                <w:sz w:val="20"/>
                <w:szCs w:val="20"/>
              </w:rPr>
              <w:t>Prof4</w:t>
            </w:r>
          </w:p>
          <w:p w:rsidR="00C713DF" w:rsidRPr="005F71E2" w:rsidRDefault="00C713DF" w:rsidP="00B56F58">
            <w:pPr>
              <w:rPr>
                <w:rFonts w:ascii="Calibri" w:hAnsi="Calibri"/>
                <w:color w:val="000000"/>
              </w:rPr>
            </w:pPr>
            <w:r w:rsidRPr="005F71E2">
              <w:rPr>
                <w:rFonts w:ascii="Calibri" w:hAnsi="Calibri"/>
                <w:color w:val="000000"/>
                <w:sz w:val="18"/>
              </w:rPr>
              <w:t>Maintain emotional, physical and mental health</w:t>
            </w:r>
          </w:p>
        </w:tc>
        <w:tc>
          <w:tcPr>
            <w:tcW w:w="444"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4" w:type="dxa"/>
            <w:tcBorders>
              <w:bottom w:val="single" w:sz="4" w:space="0" w:color="auto"/>
            </w:tcBorders>
          </w:tcPr>
          <w:p w:rsidR="00C713DF" w:rsidRPr="00C65D1D" w:rsidRDefault="00C713DF" w:rsidP="00B56F58">
            <w:pPr>
              <w:rPr>
                <w:sz w:val="20"/>
                <w:szCs w:val="20"/>
              </w:rPr>
            </w:pPr>
            <w:r>
              <w:rPr>
                <w:sz w:val="20"/>
                <w:szCs w:val="20"/>
              </w:rPr>
              <w:t>-</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4" w:type="dxa"/>
            <w:tcBorders>
              <w:bottom w:val="single" w:sz="4" w:space="0" w:color="auto"/>
            </w:tcBorders>
          </w:tcPr>
          <w:p w:rsidR="00C713DF" w:rsidRPr="00C65D1D" w:rsidRDefault="00C713DF" w:rsidP="00B56F58">
            <w:pPr>
              <w:rPr>
                <w:sz w:val="20"/>
                <w:szCs w:val="20"/>
              </w:rPr>
            </w:pPr>
            <w:r>
              <w:rPr>
                <w:sz w:val="20"/>
                <w:szCs w:val="20"/>
              </w:rPr>
              <w:t>-</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45"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r>
              <w:rPr>
                <w:sz w:val="20"/>
                <w:szCs w:val="20"/>
              </w:rPr>
              <w:t>-</w:t>
            </w:r>
          </w:p>
        </w:tc>
        <w:tc>
          <w:tcPr>
            <w:tcW w:w="445" w:type="dxa"/>
            <w:tcBorders>
              <w:bottom w:val="single" w:sz="4" w:space="0" w:color="auto"/>
            </w:tcBorders>
          </w:tcPr>
          <w:p w:rsidR="00C713DF" w:rsidRPr="00C65D1D" w:rsidRDefault="00C713DF" w:rsidP="00B56F58">
            <w:pPr>
              <w:rPr>
                <w:sz w:val="20"/>
                <w:szCs w:val="20"/>
              </w:rPr>
            </w:pPr>
            <w:r>
              <w:rPr>
                <w:sz w:val="20"/>
                <w:szCs w:val="20"/>
              </w:rPr>
              <w:t>-</w:t>
            </w:r>
          </w:p>
        </w:tc>
        <w:tc>
          <w:tcPr>
            <w:tcW w:w="446" w:type="dxa"/>
            <w:tcBorders>
              <w:bottom w:val="single" w:sz="4" w:space="0" w:color="auto"/>
            </w:tcBorders>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96" w:type="dxa"/>
            <w:tcBorders>
              <w:bottom w:val="single" w:sz="4" w:space="0" w:color="auto"/>
            </w:tcBorders>
          </w:tcPr>
          <w:p w:rsidR="00C713DF" w:rsidRPr="00C65D1D" w:rsidRDefault="00C713DF" w:rsidP="00B56F58">
            <w:pPr>
              <w:rPr>
                <w:sz w:val="20"/>
                <w:szCs w:val="20"/>
              </w:rPr>
            </w:pPr>
            <w:r>
              <w:rPr>
                <w:sz w:val="20"/>
                <w:szCs w:val="20"/>
              </w:rPr>
              <w:t>-</w:t>
            </w:r>
          </w:p>
        </w:tc>
      </w:tr>
      <w:tr w:rsidR="00A638A3" w:rsidTr="00A638A3">
        <w:trPr>
          <w:jc w:val="center"/>
        </w:trPr>
        <w:tc>
          <w:tcPr>
            <w:tcW w:w="2497" w:type="dxa"/>
            <w:tcBorders>
              <w:top w:val="single" w:sz="4" w:space="0" w:color="auto"/>
              <w:left w:val="nil"/>
              <w:bottom w:val="nil"/>
              <w:right w:val="nil"/>
            </w:tcBorders>
          </w:tcPr>
          <w:p w:rsidR="00A638A3" w:rsidRPr="00FD3DB3" w:rsidRDefault="00A638A3" w:rsidP="00C53FC5">
            <w:pPr>
              <w:rPr>
                <w:b/>
                <w:sz w:val="20"/>
                <w:szCs w:val="20"/>
              </w:rPr>
            </w:pPr>
          </w:p>
        </w:tc>
        <w:tc>
          <w:tcPr>
            <w:tcW w:w="444"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4"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4"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6"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6" w:type="dxa"/>
            <w:tcBorders>
              <w:top w:val="single" w:sz="4" w:space="0" w:color="auto"/>
              <w:left w:val="nil"/>
              <w:bottom w:val="nil"/>
              <w:right w:val="nil"/>
            </w:tcBorders>
          </w:tcPr>
          <w:p w:rsidR="00A638A3" w:rsidRPr="00FD3DB3" w:rsidRDefault="00A638A3" w:rsidP="00C53FC5">
            <w:pPr>
              <w:rPr>
                <w:b/>
                <w:sz w:val="20"/>
                <w:szCs w:val="20"/>
              </w:rPr>
            </w:pPr>
          </w:p>
        </w:tc>
        <w:tc>
          <w:tcPr>
            <w:tcW w:w="446"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6"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6"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6" w:type="dxa"/>
            <w:tcBorders>
              <w:top w:val="single" w:sz="4" w:space="0" w:color="auto"/>
              <w:left w:val="nil"/>
              <w:bottom w:val="nil"/>
              <w:right w:val="nil"/>
            </w:tcBorders>
          </w:tcPr>
          <w:p w:rsidR="00A638A3" w:rsidRPr="00FD3DB3" w:rsidRDefault="00A638A3" w:rsidP="00C53FC5">
            <w:pPr>
              <w:rPr>
                <w:b/>
                <w:sz w:val="20"/>
                <w:szCs w:val="20"/>
              </w:rPr>
            </w:pPr>
          </w:p>
        </w:tc>
        <w:tc>
          <w:tcPr>
            <w:tcW w:w="445" w:type="dxa"/>
            <w:tcBorders>
              <w:top w:val="single" w:sz="4" w:space="0" w:color="auto"/>
              <w:left w:val="nil"/>
              <w:bottom w:val="nil"/>
              <w:right w:val="nil"/>
            </w:tcBorders>
          </w:tcPr>
          <w:p w:rsidR="00A638A3" w:rsidRPr="00FD3DB3" w:rsidRDefault="00A638A3" w:rsidP="00C53FC5">
            <w:pPr>
              <w:rPr>
                <w:b/>
                <w:sz w:val="20"/>
                <w:szCs w:val="20"/>
              </w:rPr>
            </w:pPr>
          </w:p>
        </w:tc>
        <w:tc>
          <w:tcPr>
            <w:tcW w:w="446" w:type="dxa"/>
            <w:tcBorders>
              <w:top w:val="single" w:sz="4" w:space="0" w:color="auto"/>
              <w:left w:val="nil"/>
              <w:bottom w:val="nil"/>
              <w:right w:val="nil"/>
            </w:tcBorders>
          </w:tcPr>
          <w:p w:rsidR="00A638A3" w:rsidRPr="00FD3DB3" w:rsidRDefault="00A638A3" w:rsidP="00C53FC5">
            <w:pPr>
              <w:rPr>
                <w:b/>
                <w:sz w:val="20"/>
                <w:szCs w:val="20"/>
              </w:rPr>
            </w:pPr>
          </w:p>
        </w:tc>
        <w:tc>
          <w:tcPr>
            <w:tcW w:w="496" w:type="dxa"/>
            <w:tcBorders>
              <w:top w:val="single" w:sz="4" w:space="0" w:color="auto"/>
              <w:left w:val="nil"/>
              <w:bottom w:val="nil"/>
              <w:right w:val="nil"/>
            </w:tcBorders>
          </w:tcPr>
          <w:p w:rsidR="00A638A3" w:rsidRPr="00FD3DB3" w:rsidRDefault="00A638A3" w:rsidP="00C53FC5">
            <w:pPr>
              <w:rPr>
                <w:b/>
                <w:sz w:val="20"/>
                <w:szCs w:val="20"/>
              </w:rPr>
            </w:pPr>
          </w:p>
        </w:tc>
      </w:tr>
      <w:tr w:rsidR="00A638A3" w:rsidTr="00A638A3">
        <w:trPr>
          <w:jc w:val="center"/>
        </w:trPr>
        <w:tc>
          <w:tcPr>
            <w:tcW w:w="2497" w:type="dxa"/>
            <w:tcBorders>
              <w:top w:val="nil"/>
              <w:left w:val="nil"/>
              <w:bottom w:val="single" w:sz="4" w:space="0" w:color="auto"/>
              <w:right w:val="nil"/>
            </w:tcBorders>
          </w:tcPr>
          <w:p w:rsidR="00A638A3" w:rsidRPr="00FD3DB3" w:rsidRDefault="00A638A3" w:rsidP="00C53FC5">
            <w:pPr>
              <w:rPr>
                <w:b/>
                <w:sz w:val="20"/>
                <w:szCs w:val="20"/>
              </w:rPr>
            </w:pPr>
          </w:p>
        </w:tc>
        <w:tc>
          <w:tcPr>
            <w:tcW w:w="444"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4"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4"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6"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6" w:type="dxa"/>
            <w:tcBorders>
              <w:top w:val="nil"/>
              <w:left w:val="nil"/>
              <w:bottom w:val="single" w:sz="4" w:space="0" w:color="auto"/>
              <w:right w:val="nil"/>
            </w:tcBorders>
          </w:tcPr>
          <w:p w:rsidR="00A638A3" w:rsidRPr="00FD3DB3" w:rsidRDefault="00A638A3" w:rsidP="00C53FC5">
            <w:pPr>
              <w:rPr>
                <w:b/>
                <w:sz w:val="20"/>
                <w:szCs w:val="20"/>
              </w:rPr>
            </w:pPr>
          </w:p>
        </w:tc>
        <w:tc>
          <w:tcPr>
            <w:tcW w:w="446"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6"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6"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6" w:type="dxa"/>
            <w:tcBorders>
              <w:top w:val="nil"/>
              <w:left w:val="nil"/>
              <w:bottom w:val="single" w:sz="4" w:space="0" w:color="auto"/>
              <w:right w:val="nil"/>
            </w:tcBorders>
          </w:tcPr>
          <w:p w:rsidR="00A638A3" w:rsidRPr="00FD3DB3" w:rsidRDefault="00A638A3" w:rsidP="00C53FC5">
            <w:pPr>
              <w:rPr>
                <w:b/>
                <w:sz w:val="20"/>
                <w:szCs w:val="20"/>
              </w:rPr>
            </w:pPr>
          </w:p>
        </w:tc>
        <w:tc>
          <w:tcPr>
            <w:tcW w:w="445" w:type="dxa"/>
            <w:tcBorders>
              <w:top w:val="nil"/>
              <w:left w:val="nil"/>
              <w:bottom w:val="single" w:sz="4" w:space="0" w:color="auto"/>
              <w:right w:val="nil"/>
            </w:tcBorders>
          </w:tcPr>
          <w:p w:rsidR="00A638A3" w:rsidRPr="00FD3DB3" w:rsidRDefault="00A638A3" w:rsidP="00C53FC5">
            <w:pPr>
              <w:rPr>
                <w:b/>
                <w:sz w:val="20"/>
                <w:szCs w:val="20"/>
              </w:rPr>
            </w:pPr>
          </w:p>
        </w:tc>
        <w:tc>
          <w:tcPr>
            <w:tcW w:w="446" w:type="dxa"/>
            <w:tcBorders>
              <w:top w:val="nil"/>
              <w:left w:val="nil"/>
              <w:bottom w:val="single" w:sz="4" w:space="0" w:color="auto"/>
              <w:right w:val="nil"/>
            </w:tcBorders>
          </w:tcPr>
          <w:p w:rsidR="00A638A3" w:rsidRPr="00FD3DB3" w:rsidRDefault="00A638A3" w:rsidP="00C53FC5">
            <w:pPr>
              <w:rPr>
                <w:b/>
                <w:sz w:val="20"/>
                <w:szCs w:val="20"/>
              </w:rPr>
            </w:pPr>
          </w:p>
        </w:tc>
        <w:tc>
          <w:tcPr>
            <w:tcW w:w="496" w:type="dxa"/>
            <w:tcBorders>
              <w:top w:val="nil"/>
              <w:left w:val="nil"/>
              <w:bottom w:val="single" w:sz="4" w:space="0" w:color="auto"/>
              <w:right w:val="nil"/>
            </w:tcBorders>
          </w:tcPr>
          <w:p w:rsidR="00A638A3" w:rsidRPr="00FD3DB3" w:rsidRDefault="00A638A3" w:rsidP="00C53FC5">
            <w:pPr>
              <w:rPr>
                <w:b/>
                <w:sz w:val="20"/>
                <w:szCs w:val="20"/>
              </w:rPr>
            </w:pPr>
          </w:p>
        </w:tc>
      </w:tr>
      <w:tr w:rsidR="00A638A3" w:rsidTr="00A638A3">
        <w:trPr>
          <w:jc w:val="center"/>
        </w:trPr>
        <w:tc>
          <w:tcPr>
            <w:tcW w:w="2497" w:type="dxa"/>
            <w:tcBorders>
              <w:top w:val="single" w:sz="4" w:space="0" w:color="auto"/>
            </w:tcBorders>
          </w:tcPr>
          <w:p w:rsidR="00A638A3" w:rsidRPr="00FD3DB3" w:rsidRDefault="00A638A3" w:rsidP="00C53FC5">
            <w:pPr>
              <w:rPr>
                <w:b/>
                <w:sz w:val="20"/>
                <w:szCs w:val="20"/>
              </w:rPr>
            </w:pPr>
            <w:r w:rsidRPr="00FD3DB3">
              <w:rPr>
                <w:b/>
                <w:sz w:val="20"/>
                <w:szCs w:val="20"/>
              </w:rPr>
              <w:t>EPA Number</w:t>
            </w:r>
          </w:p>
        </w:tc>
        <w:tc>
          <w:tcPr>
            <w:tcW w:w="444" w:type="dxa"/>
            <w:tcBorders>
              <w:top w:val="single" w:sz="4" w:space="0" w:color="auto"/>
            </w:tcBorders>
          </w:tcPr>
          <w:p w:rsidR="00A638A3" w:rsidRPr="00FD3DB3" w:rsidRDefault="00A638A3" w:rsidP="00C53FC5">
            <w:pPr>
              <w:rPr>
                <w:b/>
                <w:sz w:val="20"/>
                <w:szCs w:val="20"/>
              </w:rPr>
            </w:pPr>
            <w:r w:rsidRPr="00FD3DB3">
              <w:rPr>
                <w:b/>
                <w:sz w:val="20"/>
                <w:szCs w:val="20"/>
              </w:rPr>
              <w:t>1</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2</w:t>
            </w:r>
          </w:p>
        </w:tc>
        <w:tc>
          <w:tcPr>
            <w:tcW w:w="444" w:type="dxa"/>
            <w:tcBorders>
              <w:top w:val="single" w:sz="4" w:space="0" w:color="auto"/>
            </w:tcBorders>
          </w:tcPr>
          <w:p w:rsidR="00A638A3" w:rsidRPr="00FD3DB3" w:rsidRDefault="00A638A3" w:rsidP="00C53FC5">
            <w:pPr>
              <w:rPr>
                <w:b/>
                <w:sz w:val="20"/>
                <w:szCs w:val="20"/>
              </w:rPr>
            </w:pPr>
            <w:r w:rsidRPr="00FD3DB3">
              <w:rPr>
                <w:b/>
                <w:sz w:val="20"/>
                <w:szCs w:val="20"/>
              </w:rPr>
              <w:t>3</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4</w:t>
            </w:r>
          </w:p>
        </w:tc>
        <w:tc>
          <w:tcPr>
            <w:tcW w:w="444" w:type="dxa"/>
            <w:tcBorders>
              <w:top w:val="single" w:sz="4" w:space="0" w:color="auto"/>
            </w:tcBorders>
          </w:tcPr>
          <w:p w:rsidR="00A638A3" w:rsidRPr="00FD3DB3" w:rsidRDefault="00A638A3" w:rsidP="00C53FC5">
            <w:pPr>
              <w:rPr>
                <w:b/>
                <w:sz w:val="20"/>
                <w:szCs w:val="20"/>
              </w:rPr>
            </w:pPr>
            <w:r w:rsidRPr="00FD3DB3">
              <w:rPr>
                <w:b/>
                <w:sz w:val="20"/>
                <w:szCs w:val="20"/>
              </w:rPr>
              <w:t>5</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6</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7</w:t>
            </w:r>
          </w:p>
        </w:tc>
        <w:tc>
          <w:tcPr>
            <w:tcW w:w="446" w:type="dxa"/>
            <w:tcBorders>
              <w:top w:val="single" w:sz="4" w:space="0" w:color="auto"/>
            </w:tcBorders>
          </w:tcPr>
          <w:p w:rsidR="00A638A3" w:rsidRPr="00FD3DB3" w:rsidRDefault="00A638A3" w:rsidP="00C53FC5">
            <w:pPr>
              <w:rPr>
                <w:b/>
                <w:sz w:val="20"/>
                <w:szCs w:val="20"/>
              </w:rPr>
            </w:pPr>
            <w:r w:rsidRPr="00FD3DB3">
              <w:rPr>
                <w:b/>
                <w:sz w:val="20"/>
                <w:szCs w:val="20"/>
              </w:rPr>
              <w:t>8</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9</w:t>
            </w:r>
          </w:p>
        </w:tc>
        <w:tc>
          <w:tcPr>
            <w:tcW w:w="446" w:type="dxa"/>
            <w:tcBorders>
              <w:top w:val="single" w:sz="4" w:space="0" w:color="auto"/>
            </w:tcBorders>
          </w:tcPr>
          <w:p w:rsidR="00A638A3" w:rsidRPr="00FD3DB3" w:rsidRDefault="00A638A3" w:rsidP="00C53FC5">
            <w:pPr>
              <w:rPr>
                <w:b/>
                <w:sz w:val="20"/>
                <w:szCs w:val="20"/>
              </w:rPr>
            </w:pPr>
            <w:r w:rsidRPr="00FD3DB3">
              <w:rPr>
                <w:b/>
                <w:sz w:val="20"/>
                <w:szCs w:val="20"/>
              </w:rPr>
              <w:t>10</w:t>
            </w:r>
          </w:p>
        </w:tc>
        <w:tc>
          <w:tcPr>
            <w:tcW w:w="446" w:type="dxa"/>
            <w:tcBorders>
              <w:top w:val="single" w:sz="4" w:space="0" w:color="auto"/>
            </w:tcBorders>
          </w:tcPr>
          <w:p w:rsidR="00A638A3" w:rsidRPr="00FD3DB3" w:rsidRDefault="00A638A3" w:rsidP="00C53FC5">
            <w:pPr>
              <w:rPr>
                <w:b/>
                <w:sz w:val="20"/>
                <w:szCs w:val="20"/>
              </w:rPr>
            </w:pPr>
            <w:r w:rsidRPr="00FD3DB3">
              <w:rPr>
                <w:b/>
                <w:sz w:val="20"/>
                <w:szCs w:val="20"/>
              </w:rPr>
              <w:t>11</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12</w:t>
            </w:r>
          </w:p>
        </w:tc>
        <w:tc>
          <w:tcPr>
            <w:tcW w:w="446" w:type="dxa"/>
            <w:tcBorders>
              <w:top w:val="single" w:sz="4" w:space="0" w:color="auto"/>
            </w:tcBorders>
          </w:tcPr>
          <w:p w:rsidR="00A638A3" w:rsidRPr="00FD3DB3" w:rsidRDefault="00A638A3" w:rsidP="00C53FC5">
            <w:pPr>
              <w:rPr>
                <w:b/>
                <w:sz w:val="20"/>
                <w:szCs w:val="20"/>
              </w:rPr>
            </w:pPr>
            <w:r w:rsidRPr="00FD3DB3">
              <w:rPr>
                <w:b/>
                <w:sz w:val="20"/>
                <w:szCs w:val="20"/>
              </w:rPr>
              <w:t>13</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14</w:t>
            </w:r>
          </w:p>
        </w:tc>
        <w:tc>
          <w:tcPr>
            <w:tcW w:w="446" w:type="dxa"/>
            <w:tcBorders>
              <w:top w:val="single" w:sz="4" w:space="0" w:color="auto"/>
            </w:tcBorders>
          </w:tcPr>
          <w:p w:rsidR="00A638A3" w:rsidRPr="00FD3DB3" w:rsidRDefault="00A638A3" w:rsidP="00C53FC5">
            <w:pPr>
              <w:rPr>
                <w:b/>
                <w:sz w:val="20"/>
                <w:szCs w:val="20"/>
              </w:rPr>
            </w:pPr>
            <w:r w:rsidRPr="00FD3DB3">
              <w:rPr>
                <w:b/>
                <w:sz w:val="20"/>
                <w:szCs w:val="20"/>
              </w:rPr>
              <w:t>15</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16</w:t>
            </w:r>
          </w:p>
        </w:tc>
        <w:tc>
          <w:tcPr>
            <w:tcW w:w="446" w:type="dxa"/>
            <w:tcBorders>
              <w:top w:val="single" w:sz="4" w:space="0" w:color="auto"/>
            </w:tcBorders>
          </w:tcPr>
          <w:p w:rsidR="00A638A3" w:rsidRPr="00FD3DB3" w:rsidRDefault="00A638A3" w:rsidP="00C53FC5">
            <w:pPr>
              <w:rPr>
                <w:b/>
                <w:sz w:val="20"/>
                <w:szCs w:val="20"/>
              </w:rPr>
            </w:pPr>
            <w:r w:rsidRPr="00FD3DB3">
              <w:rPr>
                <w:b/>
                <w:sz w:val="20"/>
                <w:szCs w:val="20"/>
              </w:rPr>
              <w:t>17</w:t>
            </w:r>
          </w:p>
        </w:tc>
        <w:tc>
          <w:tcPr>
            <w:tcW w:w="445" w:type="dxa"/>
            <w:tcBorders>
              <w:top w:val="single" w:sz="4" w:space="0" w:color="auto"/>
            </w:tcBorders>
          </w:tcPr>
          <w:p w:rsidR="00A638A3" w:rsidRPr="00FD3DB3" w:rsidRDefault="00A638A3" w:rsidP="00C53FC5">
            <w:pPr>
              <w:rPr>
                <w:b/>
                <w:sz w:val="20"/>
                <w:szCs w:val="20"/>
              </w:rPr>
            </w:pPr>
            <w:r w:rsidRPr="00FD3DB3">
              <w:rPr>
                <w:b/>
                <w:sz w:val="20"/>
                <w:szCs w:val="20"/>
              </w:rPr>
              <w:t>18</w:t>
            </w:r>
          </w:p>
        </w:tc>
        <w:tc>
          <w:tcPr>
            <w:tcW w:w="446" w:type="dxa"/>
            <w:tcBorders>
              <w:top w:val="single" w:sz="4" w:space="0" w:color="auto"/>
            </w:tcBorders>
          </w:tcPr>
          <w:p w:rsidR="00A638A3" w:rsidRPr="00FD3DB3" w:rsidRDefault="00A638A3" w:rsidP="00C53FC5">
            <w:pPr>
              <w:rPr>
                <w:b/>
                <w:sz w:val="20"/>
                <w:szCs w:val="20"/>
              </w:rPr>
            </w:pPr>
            <w:r w:rsidRPr="00FD3DB3">
              <w:rPr>
                <w:b/>
                <w:sz w:val="20"/>
                <w:szCs w:val="20"/>
              </w:rPr>
              <w:t>19</w:t>
            </w:r>
          </w:p>
        </w:tc>
        <w:tc>
          <w:tcPr>
            <w:tcW w:w="496" w:type="dxa"/>
            <w:tcBorders>
              <w:top w:val="single" w:sz="4" w:space="0" w:color="auto"/>
            </w:tcBorders>
          </w:tcPr>
          <w:p w:rsidR="00A638A3" w:rsidRPr="00FD3DB3" w:rsidRDefault="00A638A3" w:rsidP="00C53FC5">
            <w:pPr>
              <w:rPr>
                <w:b/>
                <w:sz w:val="20"/>
                <w:szCs w:val="20"/>
              </w:rPr>
            </w:pPr>
            <w:r w:rsidRPr="00FD3DB3">
              <w:rPr>
                <w:b/>
                <w:sz w:val="20"/>
                <w:szCs w:val="20"/>
              </w:rPr>
              <w:t>20</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C1</w:t>
            </w:r>
          </w:p>
          <w:p w:rsidR="00C713DF" w:rsidRPr="005F71E2" w:rsidRDefault="00C713DF" w:rsidP="00B56F58">
            <w:pPr>
              <w:rPr>
                <w:rFonts w:ascii="Calibri" w:hAnsi="Calibri"/>
                <w:color w:val="000000"/>
              </w:rPr>
            </w:pPr>
            <w:r w:rsidRPr="005F71E2">
              <w:rPr>
                <w:rFonts w:ascii="Calibri" w:hAnsi="Calibri"/>
                <w:color w:val="000000"/>
                <w:sz w:val="18"/>
              </w:rPr>
              <w:t>Develops relationships with pts and families</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C2</w:t>
            </w:r>
          </w:p>
          <w:p w:rsidR="00C713DF" w:rsidRPr="005F71E2" w:rsidRDefault="00C713DF" w:rsidP="00B56F58">
            <w:pPr>
              <w:rPr>
                <w:rFonts w:ascii="Calibri" w:hAnsi="Calibri"/>
                <w:color w:val="000000"/>
              </w:rPr>
            </w:pPr>
            <w:r w:rsidRPr="005F71E2">
              <w:rPr>
                <w:rFonts w:ascii="Calibri" w:hAnsi="Calibri"/>
                <w:color w:val="000000"/>
                <w:sz w:val="18"/>
              </w:rPr>
              <w:t>Communicates effectively with pts and families</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C3</w:t>
            </w:r>
          </w:p>
          <w:p w:rsidR="00C713DF" w:rsidRPr="005F71E2" w:rsidRDefault="00C713DF" w:rsidP="00B56F58">
            <w:pPr>
              <w:rPr>
                <w:rFonts w:ascii="Calibri" w:hAnsi="Calibri"/>
                <w:color w:val="000000"/>
              </w:rPr>
            </w:pPr>
            <w:r w:rsidRPr="005F71E2">
              <w:rPr>
                <w:rFonts w:ascii="Calibri" w:hAnsi="Calibri"/>
                <w:color w:val="000000"/>
                <w:sz w:val="18"/>
              </w:rPr>
              <w:t>Relationships within Medicine</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9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r>
      <w:tr w:rsidR="00C713DF" w:rsidTr="00C713DF">
        <w:trPr>
          <w:jc w:val="center"/>
        </w:trPr>
        <w:tc>
          <w:tcPr>
            <w:tcW w:w="2497" w:type="dxa"/>
          </w:tcPr>
          <w:p w:rsidR="00C713DF" w:rsidRPr="00FD3DB3" w:rsidRDefault="00C713DF" w:rsidP="00B56F58">
            <w:pPr>
              <w:rPr>
                <w:b/>
                <w:sz w:val="20"/>
                <w:szCs w:val="20"/>
              </w:rPr>
            </w:pPr>
            <w:r w:rsidRPr="00FD3DB3">
              <w:rPr>
                <w:b/>
                <w:sz w:val="20"/>
                <w:szCs w:val="20"/>
              </w:rPr>
              <w:t>C4</w:t>
            </w:r>
          </w:p>
          <w:p w:rsidR="00C713DF" w:rsidRPr="005F71E2" w:rsidRDefault="00C713DF" w:rsidP="00B56F58">
            <w:pPr>
              <w:rPr>
                <w:rFonts w:ascii="Calibri" w:hAnsi="Calibri"/>
                <w:color w:val="000000"/>
              </w:rPr>
            </w:pPr>
            <w:r w:rsidRPr="005F71E2">
              <w:rPr>
                <w:rFonts w:ascii="Calibri" w:hAnsi="Calibri"/>
                <w:color w:val="000000"/>
                <w:sz w:val="18"/>
              </w:rPr>
              <w:t>Use Technology</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4"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4"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3</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4</w:t>
            </w:r>
          </w:p>
        </w:tc>
        <w:tc>
          <w:tcPr>
            <w:tcW w:w="445" w:type="dxa"/>
          </w:tcPr>
          <w:p w:rsidR="00C713DF" w:rsidRPr="00C65D1D" w:rsidRDefault="00C713DF" w:rsidP="00B56F58">
            <w:pPr>
              <w:rPr>
                <w:sz w:val="20"/>
                <w:szCs w:val="20"/>
              </w:rPr>
            </w:pPr>
            <w:proofErr w:type="spellStart"/>
            <w:r>
              <w:rPr>
                <w:sz w:val="20"/>
                <w:szCs w:val="20"/>
              </w:rPr>
              <w:t>Lvl</w:t>
            </w:r>
            <w:proofErr w:type="spellEnd"/>
            <w:r>
              <w:rPr>
                <w:sz w:val="20"/>
                <w:szCs w:val="20"/>
              </w:rPr>
              <w:t xml:space="preserve"> 2</w:t>
            </w:r>
          </w:p>
        </w:tc>
        <w:tc>
          <w:tcPr>
            <w:tcW w:w="446" w:type="dxa"/>
          </w:tcPr>
          <w:p w:rsidR="00C713DF" w:rsidRPr="00C65D1D" w:rsidRDefault="00C713DF" w:rsidP="00B56F58">
            <w:pPr>
              <w:rPr>
                <w:sz w:val="20"/>
                <w:szCs w:val="20"/>
              </w:rPr>
            </w:pPr>
            <w:r>
              <w:rPr>
                <w:sz w:val="20"/>
                <w:szCs w:val="20"/>
              </w:rPr>
              <w:t>-</w:t>
            </w:r>
          </w:p>
        </w:tc>
        <w:tc>
          <w:tcPr>
            <w:tcW w:w="445" w:type="dxa"/>
          </w:tcPr>
          <w:p w:rsidR="00C713DF" w:rsidRPr="00C65D1D" w:rsidRDefault="00C713DF" w:rsidP="00B56F58">
            <w:pPr>
              <w:rPr>
                <w:sz w:val="20"/>
                <w:szCs w:val="20"/>
              </w:rPr>
            </w:pPr>
            <w:r>
              <w:rPr>
                <w:sz w:val="20"/>
                <w:szCs w:val="20"/>
              </w:rPr>
              <w:t>-</w:t>
            </w:r>
          </w:p>
        </w:tc>
        <w:tc>
          <w:tcPr>
            <w:tcW w:w="446" w:type="dxa"/>
          </w:tcPr>
          <w:p w:rsidR="00C713DF" w:rsidRPr="00C65D1D" w:rsidRDefault="00C713DF" w:rsidP="00B56F58">
            <w:pPr>
              <w:rPr>
                <w:sz w:val="20"/>
                <w:szCs w:val="20"/>
              </w:rPr>
            </w:pPr>
            <w:r>
              <w:rPr>
                <w:sz w:val="20"/>
                <w:szCs w:val="20"/>
              </w:rPr>
              <w:t>-</w:t>
            </w:r>
          </w:p>
        </w:tc>
        <w:tc>
          <w:tcPr>
            <w:tcW w:w="496" w:type="dxa"/>
          </w:tcPr>
          <w:p w:rsidR="00C713DF" w:rsidRPr="00C65D1D" w:rsidRDefault="00C713DF" w:rsidP="00B56F58">
            <w:pPr>
              <w:rPr>
                <w:sz w:val="20"/>
                <w:szCs w:val="20"/>
              </w:rPr>
            </w:pPr>
            <w:r>
              <w:rPr>
                <w:sz w:val="20"/>
                <w:szCs w:val="20"/>
              </w:rPr>
              <w:t>-</w:t>
            </w:r>
          </w:p>
        </w:tc>
      </w:tr>
    </w:tbl>
    <w:p w:rsidR="00C713DF" w:rsidRDefault="00C713D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to Serif">
    <w:altName w:val="Sitka Small"/>
    <w:charset w:val="00"/>
    <w:family w:val="roman"/>
    <w:pitch w:val="variable"/>
    <w:sig w:usb0="00000001" w:usb1="500078FF" w:usb2="00000029" w:usb3="00000000" w:csb0="0000019F" w:csb1="00000000"/>
  </w:font>
  <w:font w:name="Myriad Web Pro">
    <w:altName w:val="Corbel"/>
    <w:charset w:val="00"/>
    <w:family w:val="swiss"/>
    <w:pitch w:val="variable"/>
    <w:sig w:usb0="00000001" w:usb1="5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3DF" w:rsidRDefault="00C713DF">
    <w:pPr>
      <w:pStyle w:val="Footer"/>
    </w:pPr>
    <w:r>
      <w:t xml:space="preserve">Materials developed by the Association of Family Medicine Residency Directors </w:t>
    </w:r>
    <w:r>
      <w:rPr>
        <w:noProof/>
      </w:rPr>
      <w:drawing>
        <wp:inline distT="0" distB="0" distL="0" distR="0" wp14:anchorId="5E694931" wp14:editId="0829B4D8">
          <wp:extent cx="1304925" cy="431800"/>
          <wp:effectExtent l="0" t="0" r="9525" b="6350"/>
          <wp:docPr id="4" name="Picture 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304925" cy="4318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3DF" w:rsidRDefault="00C713DF" w:rsidP="005F6CE0">
      <w:pPr>
        <w:spacing w:after="0" w:line="240" w:lineRule="auto"/>
      </w:pPr>
      <w:r>
        <w:separator/>
      </w:r>
    </w:p>
  </w:footnote>
  <w:footnote w:type="continuationSeparator" w:id="0">
    <w:p w:rsidR="00C713DF" w:rsidRDefault="00C713DF" w:rsidP="005F6C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3DF" w:rsidRPr="006C7A37" w:rsidRDefault="00C713DF" w:rsidP="006C7A37">
    <w:pPr>
      <w:pStyle w:val="Header"/>
      <w:rPr>
        <w:rFonts w:ascii="Myriad Web Pro" w:hAnsi="Myriad Web Pro" w:cs="Times New Roman"/>
        <w:sz w:val="36"/>
        <w:szCs w:val="36"/>
      </w:rPr>
    </w:pPr>
    <w:r w:rsidRPr="006C7A37">
      <w:rPr>
        <w:rFonts w:ascii="Myriad Web Pro" w:hAnsi="Myriad Web Pro" w:cs="Times New Roman"/>
        <w:sz w:val="36"/>
        <w:szCs w:val="36"/>
      </w:rPr>
      <w:t xml:space="preserve">ENTRUSTABLE PROFESSIONAL ACTIVITIES: </w:t>
    </w:r>
    <w:r>
      <w:rPr>
        <w:rFonts w:ascii="Myriad Web Pro" w:hAnsi="Myriad Web Pro" w:cs="Times New Roman"/>
        <w:sz w:val="36"/>
        <w:szCs w:val="36"/>
      </w:rPr>
      <w:t xml:space="preserve">INDIVIDUAL </w:t>
    </w:r>
    <w:r w:rsidRPr="006C7A37">
      <w:rPr>
        <w:rFonts w:ascii="Myriad Web Pro" w:hAnsi="Myriad Web Pro" w:cs="Times New Roman"/>
        <w:sz w:val="36"/>
        <w:szCs w:val="36"/>
      </w:rPr>
      <w:t>RESIDENT EDUCATION PLANS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A48"/>
    <w:multiLevelType w:val="hybridMultilevel"/>
    <w:tmpl w:val="9D147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6A04CF"/>
    <w:multiLevelType w:val="hybridMultilevel"/>
    <w:tmpl w:val="5526F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950128"/>
    <w:multiLevelType w:val="hybridMultilevel"/>
    <w:tmpl w:val="1E70F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gers laptop">
    <w15:presenceInfo w15:providerId="None" w15:userId="rogers lapt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0"/>
    <w:rsid w:val="00001BAB"/>
    <w:rsid w:val="000369DD"/>
    <w:rsid w:val="000B365C"/>
    <w:rsid w:val="00117D95"/>
    <w:rsid w:val="00166BE1"/>
    <w:rsid w:val="00175135"/>
    <w:rsid w:val="00230A5B"/>
    <w:rsid w:val="002413FE"/>
    <w:rsid w:val="002B4A2B"/>
    <w:rsid w:val="00351F2C"/>
    <w:rsid w:val="003749A3"/>
    <w:rsid w:val="003F7E7F"/>
    <w:rsid w:val="00463AA0"/>
    <w:rsid w:val="0049244E"/>
    <w:rsid w:val="004A76D8"/>
    <w:rsid w:val="004C0F18"/>
    <w:rsid w:val="004C4B36"/>
    <w:rsid w:val="004C78A1"/>
    <w:rsid w:val="00571EAA"/>
    <w:rsid w:val="005C5BBA"/>
    <w:rsid w:val="005F6CE0"/>
    <w:rsid w:val="00604CFB"/>
    <w:rsid w:val="00674CE5"/>
    <w:rsid w:val="006C7A37"/>
    <w:rsid w:val="006F31C6"/>
    <w:rsid w:val="00704837"/>
    <w:rsid w:val="007F54A7"/>
    <w:rsid w:val="00811A79"/>
    <w:rsid w:val="00837AC9"/>
    <w:rsid w:val="008B18FA"/>
    <w:rsid w:val="008E0B3A"/>
    <w:rsid w:val="009707E9"/>
    <w:rsid w:val="009B4C05"/>
    <w:rsid w:val="009C4DF3"/>
    <w:rsid w:val="009D000D"/>
    <w:rsid w:val="009E13E9"/>
    <w:rsid w:val="009E4C38"/>
    <w:rsid w:val="009F28E6"/>
    <w:rsid w:val="00A12C74"/>
    <w:rsid w:val="00A638A3"/>
    <w:rsid w:val="00B11036"/>
    <w:rsid w:val="00B17F82"/>
    <w:rsid w:val="00B56F58"/>
    <w:rsid w:val="00B648F8"/>
    <w:rsid w:val="00C14BF6"/>
    <w:rsid w:val="00C44C1F"/>
    <w:rsid w:val="00C713DF"/>
    <w:rsid w:val="00D54452"/>
    <w:rsid w:val="00D654A9"/>
    <w:rsid w:val="00DB0D90"/>
    <w:rsid w:val="00DB648E"/>
    <w:rsid w:val="00DD65CA"/>
    <w:rsid w:val="00E23609"/>
    <w:rsid w:val="00E46C6B"/>
    <w:rsid w:val="00E53F0F"/>
    <w:rsid w:val="00EE7F0F"/>
    <w:rsid w:val="00F04504"/>
    <w:rsid w:val="00F12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5F6CE0"/>
    <w:pPr>
      <w:spacing w:after="0" w:line="240" w:lineRule="auto"/>
    </w:pPr>
    <w:rPr>
      <w:sz w:val="20"/>
      <w:szCs w:val="20"/>
    </w:rPr>
  </w:style>
  <w:style w:type="character" w:customStyle="1" w:styleId="EndnoteTextChar">
    <w:name w:val="Endnote Text Char"/>
    <w:basedOn w:val="DefaultParagraphFont"/>
    <w:link w:val="EndnoteText"/>
    <w:uiPriority w:val="99"/>
    <w:rsid w:val="005F6CE0"/>
    <w:rPr>
      <w:sz w:val="20"/>
      <w:szCs w:val="20"/>
    </w:rPr>
  </w:style>
  <w:style w:type="character" w:styleId="EndnoteReference">
    <w:name w:val="endnote reference"/>
    <w:basedOn w:val="DefaultParagraphFont"/>
    <w:uiPriority w:val="99"/>
    <w:semiHidden/>
    <w:unhideWhenUsed/>
    <w:rsid w:val="005F6CE0"/>
    <w:rPr>
      <w:vertAlign w:val="superscript"/>
    </w:rPr>
  </w:style>
  <w:style w:type="paragraph" w:styleId="ListParagraph">
    <w:name w:val="List Paragraph"/>
    <w:basedOn w:val="Normal"/>
    <w:uiPriority w:val="34"/>
    <w:qFormat/>
    <w:rsid w:val="00F04504"/>
    <w:pPr>
      <w:ind w:left="720"/>
      <w:contextualSpacing/>
    </w:pPr>
  </w:style>
  <w:style w:type="table" w:styleId="TableGrid">
    <w:name w:val="Table Grid"/>
    <w:basedOn w:val="TableNormal"/>
    <w:uiPriority w:val="59"/>
    <w:rsid w:val="00B56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4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A2B"/>
  </w:style>
  <w:style w:type="paragraph" w:styleId="Footer">
    <w:name w:val="footer"/>
    <w:basedOn w:val="Normal"/>
    <w:link w:val="FooterChar"/>
    <w:uiPriority w:val="99"/>
    <w:unhideWhenUsed/>
    <w:rsid w:val="002B4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A2B"/>
  </w:style>
  <w:style w:type="paragraph" w:styleId="BalloonText">
    <w:name w:val="Balloon Text"/>
    <w:basedOn w:val="Normal"/>
    <w:link w:val="BalloonTextChar"/>
    <w:uiPriority w:val="99"/>
    <w:semiHidden/>
    <w:unhideWhenUsed/>
    <w:rsid w:val="002B4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A2B"/>
    <w:rPr>
      <w:rFonts w:ascii="Tahoma" w:hAnsi="Tahoma" w:cs="Tahoma"/>
      <w:sz w:val="16"/>
      <w:szCs w:val="16"/>
    </w:rPr>
  </w:style>
  <w:style w:type="character" w:styleId="Hyperlink">
    <w:name w:val="Hyperlink"/>
    <w:basedOn w:val="DefaultParagraphFont"/>
    <w:uiPriority w:val="99"/>
    <w:unhideWhenUsed/>
    <w:rsid w:val="00604C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5F6CE0"/>
    <w:pPr>
      <w:spacing w:after="0" w:line="240" w:lineRule="auto"/>
    </w:pPr>
    <w:rPr>
      <w:sz w:val="20"/>
      <w:szCs w:val="20"/>
    </w:rPr>
  </w:style>
  <w:style w:type="character" w:customStyle="1" w:styleId="EndnoteTextChar">
    <w:name w:val="Endnote Text Char"/>
    <w:basedOn w:val="DefaultParagraphFont"/>
    <w:link w:val="EndnoteText"/>
    <w:uiPriority w:val="99"/>
    <w:rsid w:val="005F6CE0"/>
    <w:rPr>
      <w:sz w:val="20"/>
      <w:szCs w:val="20"/>
    </w:rPr>
  </w:style>
  <w:style w:type="character" w:styleId="EndnoteReference">
    <w:name w:val="endnote reference"/>
    <w:basedOn w:val="DefaultParagraphFont"/>
    <w:uiPriority w:val="99"/>
    <w:semiHidden/>
    <w:unhideWhenUsed/>
    <w:rsid w:val="005F6CE0"/>
    <w:rPr>
      <w:vertAlign w:val="superscript"/>
    </w:rPr>
  </w:style>
  <w:style w:type="paragraph" w:styleId="ListParagraph">
    <w:name w:val="List Paragraph"/>
    <w:basedOn w:val="Normal"/>
    <w:uiPriority w:val="34"/>
    <w:qFormat/>
    <w:rsid w:val="00F04504"/>
    <w:pPr>
      <w:ind w:left="720"/>
      <w:contextualSpacing/>
    </w:pPr>
  </w:style>
  <w:style w:type="table" w:styleId="TableGrid">
    <w:name w:val="Table Grid"/>
    <w:basedOn w:val="TableNormal"/>
    <w:uiPriority w:val="59"/>
    <w:rsid w:val="00B56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4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A2B"/>
  </w:style>
  <w:style w:type="paragraph" w:styleId="Footer">
    <w:name w:val="footer"/>
    <w:basedOn w:val="Normal"/>
    <w:link w:val="FooterChar"/>
    <w:uiPriority w:val="99"/>
    <w:unhideWhenUsed/>
    <w:rsid w:val="002B4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A2B"/>
  </w:style>
  <w:style w:type="paragraph" w:styleId="BalloonText">
    <w:name w:val="Balloon Text"/>
    <w:basedOn w:val="Normal"/>
    <w:link w:val="BalloonTextChar"/>
    <w:uiPriority w:val="99"/>
    <w:semiHidden/>
    <w:unhideWhenUsed/>
    <w:rsid w:val="002B4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A2B"/>
    <w:rPr>
      <w:rFonts w:ascii="Tahoma" w:hAnsi="Tahoma" w:cs="Tahoma"/>
      <w:sz w:val="16"/>
      <w:szCs w:val="16"/>
    </w:rPr>
  </w:style>
  <w:style w:type="character" w:styleId="Hyperlink">
    <w:name w:val="Hyperlink"/>
    <w:basedOn w:val="DefaultParagraphFont"/>
    <w:uiPriority w:val="99"/>
    <w:unhideWhenUsed/>
    <w:rsid w:val="00604C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58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fmrd.org/p/do/sd/sid=185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fmrd.org/p/do/sd/sid=1853" TargetMode="External"/><Relationship Id="rId4" Type="http://schemas.microsoft.com/office/2007/relationships/stylesWithEffects" Target="stylesWithEffects.xml"/><Relationship Id="rId9" Type="http://schemas.openxmlformats.org/officeDocument/2006/relationships/hyperlink" Target="http://www.afmrd.org/p/do/sd/sid=185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40835-9975-4976-9CEF-BB7D91D2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Sky Lakes Medical Center</Company>
  <LinksUpToDate>false</LinksUpToDate>
  <CharactersWithSpaces>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Hollander-Rodriguez,Joyce</dc:creator>
  <cp:lastModifiedBy>Christopher Pyle</cp:lastModifiedBy>
  <cp:revision>10</cp:revision>
  <dcterms:created xsi:type="dcterms:W3CDTF">2017-03-26T21:47:00Z</dcterms:created>
  <dcterms:modified xsi:type="dcterms:W3CDTF">2017-04-04T12:27:00Z</dcterms:modified>
</cp:coreProperties>
</file>